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_GBK" w:hAnsi="宋体" w:eastAsia="方正小标宋_GBK"/>
          <w:color w:val="auto"/>
          <w:sz w:val="72"/>
          <w:szCs w:val="72"/>
        </w:rPr>
      </w:pPr>
      <w:bookmarkStart w:id="0" w:name="_Toc15306267"/>
    </w:p>
    <w:p>
      <w:pPr>
        <w:spacing w:line="600" w:lineRule="exact"/>
        <w:jc w:val="center"/>
        <w:outlineLvl w:val="9"/>
        <w:rPr>
          <w:rFonts w:ascii="方正小标宋_GBK" w:hAnsi="宋体" w:eastAsia="方正小标宋_GBK"/>
          <w:color w:val="auto"/>
          <w:sz w:val="72"/>
          <w:szCs w:val="72"/>
        </w:rPr>
      </w:pPr>
    </w:p>
    <w:p>
      <w:pPr>
        <w:spacing w:line="600" w:lineRule="exact"/>
        <w:jc w:val="center"/>
        <w:outlineLvl w:val="9"/>
        <w:rPr>
          <w:rFonts w:ascii="方正小标宋_GBK" w:hAnsi="宋体" w:eastAsia="方正小标宋_GBK"/>
          <w:color w:val="auto"/>
          <w:sz w:val="72"/>
          <w:szCs w:val="72"/>
        </w:rPr>
      </w:pPr>
    </w:p>
    <w:p>
      <w:pPr>
        <w:keepNext w:val="0"/>
        <w:keepLines w:val="0"/>
        <w:pageBreakBefore w:val="0"/>
        <w:widowControl w:val="0"/>
        <w:kinsoku/>
        <w:wordWrap/>
        <w:overflowPunct/>
        <w:topLinePunct w:val="0"/>
        <w:autoSpaceDE/>
        <w:autoSpaceDN/>
        <w:bidi w:val="0"/>
        <w:spacing w:line="800" w:lineRule="exact"/>
        <w:jc w:val="center"/>
        <w:textAlignment w:val="auto"/>
        <w:outlineLvl w:val="9"/>
        <w:rPr>
          <w:rFonts w:hint="eastAsia" w:ascii="方正小标宋简体" w:hAnsi="宋体" w:eastAsia="方正小标宋简体" w:cs="Times New Roman"/>
          <w:color w:val="auto"/>
          <w:w w:val="90"/>
          <w:kern w:val="2"/>
          <w:sz w:val="44"/>
          <w:szCs w:val="44"/>
          <w:highlight w:val="none"/>
          <w:lang w:val="en-US" w:eastAsia="zh-CN" w:bidi="ar-SA"/>
        </w:rPr>
      </w:pPr>
      <w:bookmarkStart w:id="1" w:name="_Toc357"/>
      <w:r>
        <w:rPr>
          <w:rFonts w:hint="eastAsia" w:ascii="方正小标宋简体" w:hAnsi="宋体" w:eastAsia="方正小标宋简体" w:cs="Times New Roman"/>
          <w:color w:val="auto"/>
          <w:w w:val="90"/>
          <w:kern w:val="2"/>
          <w:sz w:val="44"/>
          <w:szCs w:val="44"/>
          <w:highlight w:val="none"/>
          <w:lang w:val="en-US" w:eastAsia="zh-CN" w:bidi="ar-SA"/>
        </w:rPr>
        <w:t>2024年度</w:t>
      </w:r>
      <w:bookmarkEnd w:id="1"/>
      <w:r>
        <w:rPr>
          <w:rFonts w:hint="eastAsia" w:ascii="方正小标宋简体" w:hAnsi="宋体" w:eastAsia="方正小标宋简体" w:cs="Times New Roman"/>
          <w:color w:val="auto"/>
          <w:w w:val="90"/>
          <w:kern w:val="2"/>
          <w:sz w:val="44"/>
          <w:szCs w:val="44"/>
          <w:highlight w:val="none"/>
          <w:lang w:val="en-US" w:eastAsia="zh-CN" w:bidi="ar-SA"/>
        </w:rPr>
        <w:t>广元经济技术开发区</w:t>
      </w:r>
    </w:p>
    <w:p>
      <w:pPr>
        <w:keepNext w:val="0"/>
        <w:keepLines w:val="0"/>
        <w:pageBreakBefore w:val="0"/>
        <w:widowControl w:val="0"/>
        <w:kinsoku/>
        <w:wordWrap/>
        <w:overflowPunct/>
        <w:topLinePunct w:val="0"/>
        <w:autoSpaceDE/>
        <w:autoSpaceDN/>
        <w:bidi w:val="0"/>
        <w:spacing w:line="800" w:lineRule="exact"/>
        <w:jc w:val="center"/>
        <w:textAlignment w:val="auto"/>
        <w:outlineLvl w:val="9"/>
        <w:rPr>
          <w:rFonts w:hint="eastAsia" w:ascii="方正小标宋简体" w:hAnsi="宋体" w:eastAsia="方正小标宋简体" w:cs="Times New Roman"/>
          <w:color w:val="auto"/>
          <w:w w:val="90"/>
          <w:kern w:val="2"/>
          <w:sz w:val="44"/>
          <w:szCs w:val="44"/>
          <w:highlight w:val="none"/>
          <w:lang w:val="en-US" w:eastAsia="zh-CN" w:bidi="ar-SA"/>
        </w:rPr>
      </w:pPr>
      <w:r>
        <w:rPr>
          <w:rFonts w:hint="eastAsia" w:ascii="方正小标宋简体" w:hAnsi="宋体" w:eastAsia="方正小标宋简体" w:cs="Times New Roman"/>
          <w:color w:val="auto"/>
          <w:w w:val="90"/>
          <w:kern w:val="2"/>
          <w:sz w:val="44"/>
          <w:szCs w:val="44"/>
          <w:highlight w:val="none"/>
          <w:lang w:val="en-US" w:eastAsia="zh-CN" w:bidi="ar-SA"/>
        </w:rPr>
        <w:t>国土空间规划编制研究中心</w:t>
      </w:r>
    </w:p>
    <w:p>
      <w:pPr>
        <w:keepNext w:val="0"/>
        <w:keepLines w:val="0"/>
        <w:pageBreakBefore w:val="0"/>
        <w:widowControl w:val="0"/>
        <w:kinsoku/>
        <w:wordWrap/>
        <w:overflowPunct/>
        <w:topLinePunct w:val="0"/>
        <w:autoSpaceDE/>
        <w:autoSpaceDN/>
        <w:bidi w:val="0"/>
        <w:spacing w:line="800" w:lineRule="exact"/>
        <w:jc w:val="center"/>
        <w:textAlignment w:val="auto"/>
        <w:outlineLvl w:val="9"/>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 w:eastAsia="zh-CN" w:bidi="ar-SA"/>
        </w:rPr>
        <w:t>单位</w:t>
      </w:r>
      <w:r>
        <w:rPr>
          <w:rFonts w:hint="eastAsia" w:ascii="方正小标宋简体" w:hAnsi="宋体" w:eastAsia="方正小标宋简体" w:cs="Times New Roman"/>
          <w:color w:val="auto"/>
          <w:kern w:val="2"/>
          <w:sz w:val="44"/>
          <w:szCs w:val="44"/>
          <w:highlight w:val="none"/>
          <w:lang w:val="en-US" w:eastAsia="zh-CN" w:bidi="ar-SA"/>
        </w:rPr>
        <w:t>决算</w:t>
      </w:r>
    </w:p>
    <w:bookmarkEnd w:id="0"/>
    <w:p>
      <w:pPr>
        <w:jc w:val="center"/>
        <w:rPr>
          <w:rFonts w:ascii="黑体" w:hAnsi="黑体" w:eastAsia="黑体" w:cs="Times New Roman"/>
          <w:color w:val="auto"/>
          <w:sz w:val="28"/>
          <w:szCs w:val="28"/>
          <w:highlight w:val="none"/>
        </w:rPr>
      </w:pPr>
      <w:r>
        <w:rPr>
          <w:rFonts w:ascii="方正小标宋_GBK" w:hAnsi="宋体" w:eastAsia="方正小标宋_GBK"/>
          <w:color w:val="auto"/>
          <w:sz w:val="36"/>
          <w:szCs w:val="36"/>
        </w:rPr>
        <w:br w:type="page"/>
      </w:r>
      <w:r>
        <w:rPr>
          <w:rFonts w:hint="eastAsia" w:ascii="方正小标宋_GBK" w:hAnsi="方正小标宋_GBK" w:eastAsia="方正小标宋_GBK" w:cs="方正小标宋_GBK"/>
          <w:color w:val="auto"/>
          <w:sz w:val="44"/>
          <w:szCs w:val="44"/>
          <w:highlight w:val="none"/>
        </w:rPr>
        <w:t>目</w:t>
      </w:r>
      <w:r>
        <w:rPr>
          <w:rFonts w:hint="eastAsia" w:ascii="方正小标宋_GBK" w:hAnsi="方正小标宋_GBK" w:eastAsia="方正小标宋_GBK" w:cs="方正小标宋_GBK"/>
          <w:color w:val="auto"/>
          <w:sz w:val="44"/>
          <w:szCs w:val="44"/>
          <w:highlight w:val="none"/>
          <w:lang w:val="en-US" w:eastAsia="zh-CN"/>
        </w:rPr>
        <w:t xml:space="preserve">  </w:t>
      </w:r>
      <w:r>
        <w:rPr>
          <w:rFonts w:hint="eastAsia" w:ascii="方正小标宋_GBK" w:hAnsi="方正小标宋_GBK" w:eastAsia="方正小标宋_GBK" w:cs="方正小标宋_GBK"/>
          <w:color w:val="auto"/>
          <w:sz w:val="44"/>
          <w:szCs w:val="44"/>
          <w:highlight w:val="none"/>
        </w:rPr>
        <w:t>录</w:t>
      </w:r>
    </w:p>
    <w:p>
      <w:pPr>
        <w:pStyle w:val="11"/>
        <w:pageBreakBefore w:val="0"/>
        <w:kinsoku/>
        <w:wordWrap/>
        <w:overflowPunct/>
        <w:topLinePunct w:val="0"/>
        <w:autoSpaceDE/>
        <w:autoSpaceDN/>
        <w:bidi w:val="0"/>
        <w:spacing w:before="0" w:line="576"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公开时间：20</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日</w:t>
      </w:r>
    </w:p>
    <w:sdt>
      <w:sdtPr>
        <w:rPr>
          <w:rFonts w:hint="eastAsia" w:ascii="仿宋_GB2312" w:hAnsi="仿宋_GB2312" w:eastAsia="仿宋_GB2312" w:cs="仿宋_GB2312"/>
          <w:kern w:val="2"/>
          <w:sz w:val="32"/>
          <w:szCs w:val="32"/>
          <w:lang w:val="en-US" w:eastAsia="zh-CN" w:bidi="ar-SA"/>
        </w:rPr>
        <w:id w:val="147454322"/>
        <w15:color w:val="DBDBDB"/>
        <w:docPartObj>
          <w:docPartGallery w:val="Table of Contents"/>
          <w:docPartUnique/>
        </w:docPartObj>
      </w:sdtPr>
      <w:sdtEndPr>
        <w:rPr>
          <w:rFonts w:hint="eastAsia" w:ascii="仿宋_GB2312" w:hAnsi="仿宋_GB2312" w:eastAsia="仿宋_GB2312" w:cs="仿宋_GB2312"/>
          <w:b/>
          <w:color w:val="auto"/>
          <w:kern w:val="2"/>
          <w:sz w:val="21"/>
          <w:szCs w:val="32"/>
          <w:highlight w:val="none"/>
          <w:lang w:val="en-US" w:eastAsia="zh-CN" w:bidi="ar-SA"/>
        </w:rPr>
      </w:sdtEndPr>
      <w:sdtContent>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"1-2" \h \u </w:instrText>
          </w:r>
          <w:r>
            <w:rPr>
              <w:rFonts w:hint="eastAsia" w:ascii="仿宋_GB2312" w:hAnsi="仿宋_GB2312" w:eastAsia="仿宋_GB2312" w:cs="仿宋_GB2312"/>
              <w:color w:val="auto"/>
              <w:sz w:val="32"/>
              <w:szCs w:val="32"/>
              <w:highlight w:val="none"/>
            </w:rPr>
            <w:fldChar w:fldCharType="separate"/>
          </w:r>
        </w:p>
        <w:p>
          <w:pPr>
            <w:pStyle w:val="11"/>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_Toc24049 </w:instrText>
          </w:r>
          <w:r>
            <w:rPr>
              <w:rFonts w:hint="eastAsia" w:ascii="仿宋_GB2312" w:hAnsi="仿宋_GB2312" w:eastAsia="仿宋_GB2312" w:cs="仿宋_GB2312"/>
              <w:szCs w:val="32"/>
              <w:highlight w:val="none"/>
            </w:rPr>
            <w:fldChar w:fldCharType="separate"/>
          </w:r>
          <w:r>
            <w:rPr>
              <w:rFonts w:hint="eastAsia" w:ascii="黑体" w:hAnsi="黑体" w:eastAsia="黑体" w:cs="黑体"/>
              <w:highlight w:val="none"/>
            </w:rPr>
            <w:t xml:space="preserve">第一部分 </w:t>
          </w:r>
          <w:r>
            <w:rPr>
              <w:rFonts w:hint="eastAsia" w:ascii="黑体" w:hAnsi="黑体" w:eastAsia="黑体" w:cs="黑体"/>
              <w:highlight w:val="none"/>
              <w:lang w:eastAsia="zh-CN"/>
            </w:rPr>
            <w:t>单位</w:t>
          </w:r>
          <w:r>
            <w:rPr>
              <w:rFonts w:hint="eastAsia" w:ascii="黑体" w:hAnsi="黑体" w:eastAsia="黑体" w:cs="黑体"/>
              <w:highlight w:val="none"/>
            </w:rPr>
            <w:t>概况</w:t>
          </w:r>
          <w:r>
            <w:tab/>
          </w:r>
          <w:r>
            <w:fldChar w:fldCharType="begin"/>
          </w:r>
          <w:r>
            <w:instrText xml:space="preserve"> PAGEREF _Toc24049 \h </w:instrText>
          </w:r>
          <w:r>
            <w:fldChar w:fldCharType="separate"/>
          </w:r>
          <w:r>
            <w:t>1</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_Toc5281 </w:instrText>
          </w:r>
          <w:r>
            <w:rPr>
              <w:rFonts w:hint="eastAsia" w:ascii="仿宋_GB2312" w:hAnsi="仿宋_GB2312" w:eastAsia="仿宋_GB2312" w:cs="仿宋_GB2312"/>
              <w:szCs w:val="32"/>
              <w:highlight w:val="none"/>
            </w:rPr>
            <w:fldChar w:fldCharType="separate"/>
          </w:r>
          <w:r>
            <w:rPr>
              <w:rFonts w:hint="eastAsia"/>
              <w:lang w:val="en-US" w:eastAsia="zh-CN"/>
            </w:rPr>
            <w:t>一、</w:t>
          </w:r>
          <w:r>
            <w:rPr>
              <w:rFonts w:hint="eastAsia" w:ascii="黑体" w:hAnsi="黑体" w:eastAsia="黑体"/>
              <w:bCs w:val="0"/>
              <w:highlight w:val="none"/>
              <w:lang w:eastAsia="zh-CN"/>
            </w:rPr>
            <w:t>主要职责</w:t>
          </w:r>
          <w:r>
            <w:tab/>
          </w:r>
          <w:r>
            <w:fldChar w:fldCharType="begin"/>
          </w:r>
          <w:r>
            <w:instrText xml:space="preserve"> PAGEREF _Toc5281 \h </w:instrText>
          </w:r>
          <w:r>
            <w:fldChar w:fldCharType="separate"/>
          </w:r>
          <w:r>
            <w:t>1</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_Toc9563 </w:instrText>
          </w:r>
          <w:r>
            <w:rPr>
              <w:rFonts w:hint="eastAsia" w:ascii="仿宋_GB2312" w:hAnsi="仿宋_GB2312" w:eastAsia="仿宋_GB2312" w:cs="仿宋_GB2312"/>
              <w:szCs w:val="32"/>
              <w:highlight w:val="none"/>
            </w:rPr>
            <w:fldChar w:fldCharType="separate"/>
          </w:r>
          <w:r>
            <w:rPr>
              <w:rFonts w:hint="eastAsia" w:ascii="黑体" w:hAnsi="宋体" w:eastAsia="黑体" w:cs="黑体"/>
              <w:bCs w:val="0"/>
              <w:i w:val="0"/>
              <w:iCs w:val="0"/>
              <w:caps w:val="0"/>
              <w:spacing w:val="0"/>
              <w:kern w:val="2"/>
              <w:szCs w:val="32"/>
              <w:lang w:val="en-US" w:eastAsia="zh-CN" w:bidi="ar-SA"/>
            </w:rPr>
            <w:t>二、</w:t>
          </w:r>
          <w:r>
            <w:rPr>
              <w:rFonts w:ascii="黑体" w:hAnsi="宋体" w:eastAsia="黑体" w:cs="黑体"/>
              <w:bCs w:val="0"/>
              <w:i w:val="0"/>
              <w:iCs w:val="0"/>
              <w:caps w:val="0"/>
              <w:spacing w:val="0"/>
              <w:szCs w:val="32"/>
              <w:highlight w:val="none"/>
            </w:rPr>
            <w:t>机构设置</w:t>
          </w:r>
          <w:r>
            <w:tab/>
          </w:r>
          <w:r>
            <w:fldChar w:fldCharType="begin"/>
          </w:r>
          <w:r>
            <w:instrText xml:space="preserve"> PAGEREF _Toc9563 \h </w:instrText>
          </w:r>
          <w:r>
            <w:fldChar w:fldCharType="separate"/>
          </w:r>
          <w:r>
            <w:t>1</w:t>
          </w:r>
          <w:r>
            <w:fldChar w:fldCharType="end"/>
          </w:r>
          <w:r>
            <w:rPr>
              <w:rFonts w:hint="eastAsia" w:ascii="仿宋_GB2312" w:hAnsi="仿宋_GB2312" w:eastAsia="仿宋_GB2312" w:cs="仿宋_GB2312"/>
              <w:color w:val="auto"/>
              <w:szCs w:val="32"/>
              <w:highlight w:val="none"/>
            </w:rPr>
            <w:fldChar w:fldCharType="end"/>
          </w:r>
        </w:p>
        <w:p>
          <w:pPr>
            <w:pStyle w:val="11"/>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_Toc16573 </w:instrText>
          </w:r>
          <w:r>
            <w:rPr>
              <w:rFonts w:hint="eastAsia" w:ascii="仿宋_GB2312" w:hAnsi="仿宋_GB2312" w:eastAsia="仿宋_GB2312" w:cs="仿宋_GB2312"/>
              <w:szCs w:val="32"/>
              <w:highlight w:val="none"/>
            </w:rPr>
            <w:fldChar w:fldCharType="separate"/>
          </w:r>
          <w:r>
            <w:rPr>
              <w:rFonts w:hint="eastAsia" w:ascii="黑体" w:hAnsi="黑体" w:eastAsia="黑体" w:cs="黑体"/>
              <w:highlight w:val="none"/>
            </w:rPr>
            <w:t xml:space="preserve">第二部分 </w:t>
          </w:r>
          <w:r>
            <w:rPr>
              <w:rFonts w:hint="eastAsia" w:ascii="黑体" w:hAnsi="黑体" w:eastAsia="黑体" w:cs="黑体"/>
              <w:highlight w:val="none"/>
              <w:lang w:val="en-US" w:eastAsia="zh-CN"/>
            </w:rPr>
            <w:t>2024年度</w:t>
          </w:r>
          <w:r>
            <w:rPr>
              <w:rFonts w:hint="eastAsia" w:ascii="黑体" w:hAnsi="黑体" w:eastAsia="黑体" w:cs="黑体"/>
              <w:highlight w:val="none"/>
              <w:lang w:eastAsia="zh-CN"/>
            </w:rPr>
            <w:t>单位</w:t>
          </w:r>
          <w:r>
            <w:rPr>
              <w:rFonts w:hint="eastAsia" w:ascii="黑体" w:hAnsi="黑体" w:eastAsia="黑体" w:cs="黑体"/>
              <w:highlight w:val="none"/>
            </w:rPr>
            <w:t>决算情况说明</w:t>
          </w:r>
          <w:r>
            <w:tab/>
          </w:r>
          <w:r>
            <w:fldChar w:fldCharType="begin"/>
          </w:r>
          <w:r>
            <w:instrText xml:space="preserve"> PAGEREF _Toc16573 \h </w:instrText>
          </w:r>
          <w:r>
            <w:fldChar w:fldCharType="separate"/>
          </w:r>
          <w:r>
            <w:t>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_Toc533 </w:instrText>
          </w:r>
          <w:r>
            <w:rPr>
              <w:rFonts w:hint="eastAsia" w:ascii="仿宋_GB2312" w:hAnsi="仿宋_GB2312" w:eastAsia="仿宋_GB2312" w:cs="仿宋_GB2312"/>
              <w:szCs w:val="32"/>
              <w:highlight w:val="none"/>
            </w:rPr>
            <w:fldChar w:fldCharType="separate"/>
          </w:r>
          <w:r>
            <w:rPr>
              <w:rFonts w:hint="eastAsia" w:ascii="黑体" w:hAnsi="黑体" w:eastAsia="黑体" w:cs="黑体"/>
              <w:bCs w:val="0"/>
              <w:szCs w:val="32"/>
              <w:highlight w:val="none"/>
              <w:lang w:eastAsia="zh-CN"/>
            </w:rPr>
            <w:t>一、收入支出决算总体情况说明</w:t>
          </w:r>
          <w:r>
            <w:tab/>
          </w:r>
          <w:r>
            <w:fldChar w:fldCharType="begin"/>
          </w:r>
          <w:r>
            <w:instrText xml:space="preserve"> PAGEREF _Toc533 \h </w:instrText>
          </w:r>
          <w:r>
            <w:fldChar w:fldCharType="separate"/>
          </w:r>
          <w:r>
            <w:t>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_Toc20231 </w:instrText>
          </w:r>
          <w:r>
            <w:rPr>
              <w:rFonts w:hint="eastAsia" w:ascii="仿宋_GB2312" w:hAnsi="仿宋_GB2312" w:eastAsia="仿宋_GB2312" w:cs="仿宋_GB2312"/>
              <w:szCs w:val="32"/>
              <w:highlight w:val="none"/>
            </w:rPr>
            <w:fldChar w:fldCharType="separate"/>
          </w:r>
          <w:r>
            <w:rPr>
              <w:rFonts w:hint="eastAsia" w:ascii="黑体" w:hAnsi="黑体" w:eastAsia="黑体" w:cs="黑体"/>
              <w:bCs w:val="0"/>
              <w:szCs w:val="32"/>
              <w:highlight w:val="none"/>
              <w:lang w:eastAsia="zh-CN"/>
            </w:rPr>
            <w:t>二、收入决算情况说明</w:t>
          </w:r>
          <w:r>
            <w:tab/>
          </w:r>
          <w:r>
            <w:fldChar w:fldCharType="begin"/>
          </w:r>
          <w:r>
            <w:instrText xml:space="preserve"> PAGEREF _Toc20231 \h </w:instrText>
          </w:r>
          <w:r>
            <w:fldChar w:fldCharType="separate"/>
          </w:r>
          <w:r>
            <w:t>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_Toc4848 </w:instrText>
          </w:r>
          <w:r>
            <w:rPr>
              <w:rFonts w:hint="eastAsia" w:ascii="仿宋_GB2312" w:hAnsi="仿宋_GB2312" w:eastAsia="仿宋_GB2312" w:cs="仿宋_GB2312"/>
              <w:szCs w:val="32"/>
              <w:highlight w:val="none"/>
            </w:rPr>
            <w:fldChar w:fldCharType="separate"/>
          </w:r>
          <w:r>
            <w:rPr>
              <w:rFonts w:hint="eastAsia" w:ascii="黑体" w:hAnsi="黑体" w:eastAsia="黑体" w:cs="黑体"/>
              <w:bCs w:val="0"/>
              <w:szCs w:val="32"/>
              <w:highlight w:val="none"/>
              <w:lang w:eastAsia="zh-CN"/>
            </w:rPr>
            <w:t>三、支出决算情况说明</w:t>
          </w:r>
          <w:r>
            <w:tab/>
          </w:r>
          <w:r>
            <w:fldChar w:fldCharType="begin"/>
          </w:r>
          <w:r>
            <w:instrText xml:space="preserve"> PAGEREF _Toc4848 \h </w:instrText>
          </w:r>
          <w:r>
            <w:fldChar w:fldCharType="separate"/>
          </w:r>
          <w:r>
            <w:t>3</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_Toc13307 </w:instrText>
          </w:r>
          <w:r>
            <w:rPr>
              <w:rFonts w:hint="eastAsia" w:ascii="仿宋_GB2312" w:hAnsi="仿宋_GB2312" w:eastAsia="仿宋_GB2312" w:cs="仿宋_GB2312"/>
              <w:szCs w:val="32"/>
              <w:highlight w:val="none"/>
            </w:rPr>
            <w:fldChar w:fldCharType="separate"/>
          </w:r>
          <w:r>
            <w:rPr>
              <w:rFonts w:hint="eastAsia" w:ascii="黑体" w:hAnsi="黑体" w:eastAsia="黑体" w:cs="黑体"/>
              <w:bCs w:val="0"/>
              <w:szCs w:val="32"/>
              <w:highlight w:val="none"/>
              <w:lang w:eastAsia="zh-CN"/>
            </w:rPr>
            <w:t>四、财政拨款收入支出决算总体情况说明</w:t>
          </w:r>
          <w:r>
            <w:tab/>
          </w:r>
          <w:r>
            <w:fldChar w:fldCharType="begin"/>
          </w:r>
          <w:r>
            <w:instrText xml:space="preserve"> PAGEREF _Toc13307 \h </w:instrText>
          </w:r>
          <w:r>
            <w:fldChar w:fldCharType="separate"/>
          </w:r>
          <w:r>
            <w:t>3</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_Toc15154 </w:instrText>
          </w:r>
          <w:r>
            <w:rPr>
              <w:rFonts w:hint="eastAsia" w:ascii="仿宋_GB2312" w:hAnsi="仿宋_GB2312" w:eastAsia="仿宋_GB2312" w:cs="仿宋_GB2312"/>
              <w:szCs w:val="32"/>
              <w:highlight w:val="none"/>
            </w:rPr>
            <w:fldChar w:fldCharType="separate"/>
          </w:r>
          <w:r>
            <w:rPr>
              <w:rFonts w:hint="eastAsia" w:ascii="黑体" w:hAnsi="黑体" w:eastAsia="黑体" w:cs="黑体"/>
              <w:bCs w:val="0"/>
              <w:szCs w:val="32"/>
              <w:highlight w:val="none"/>
              <w:lang w:eastAsia="zh-CN"/>
            </w:rPr>
            <w:t>五、一般公共预算财政拨款支出决算情况说明</w:t>
          </w:r>
          <w:r>
            <w:tab/>
          </w:r>
          <w:r>
            <w:fldChar w:fldCharType="begin"/>
          </w:r>
          <w:r>
            <w:instrText xml:space="preserve"> PAGEREF _Toc15154 \h </w:instrText>
          </w:r>
          <w:r>
            <w:fldChar w:fldCharType="separate"/>
          </w:r>
          <w:r>
            <w:t>4</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_Toc15792 </w:instrText>
          </w:r>
          <w:r>
            <w:rPr>
              <w:rFonts w:hint="eastAsia" w:ascii="仿宋_GB2312" w:hAnsi="仿宋_GB2312" w:eastAsia="仿宋_GB2312" w:cs="仿宋_GB2312"/>
              <w:szCs w:val="32"/>
              <w:highlight w:val="none"/>
            </w:rPr>
            <w:fldChar w:fldCharType="separate"/>
          </w:r>
          <w:r>
            <w:rPr>
              <w:rFonts w:hint="eastAsia" w:ascii="黑体" w:hAnsi="黑体" w:eastAsia="黑体" w:cs="黑体"/>
              <w:bCs w:val="0"/>
              <w:szCs w:val="32"/>
              <w:highlight w:val="none"/>
              <w:lang w:eastAsia="zh-CN"/>
            </w:rPr>
            <w:t>六、一般公共预算财政拨款基本支出决算情况说明</w:t>
          </w:r>
          <w:r>
            <w:tab/>
          </w:r>
          <w:r>
            <w:fldChar w:fldCharType="begin"/>
          </w:r>
          <w:r>
            <w:instrText xml:space="preserve"> PAGEREF _Toc15792 \h </w:instrText>
          </w:r>
          <w:r>
            <w:fldChar w:fldCharType="separate"/>
          </w:r>
          <w:r>
            <w:t>6</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_Toc28724 </w:instrText>
          </w:r>
          <w:r>
            <w:rPr>
              <w:rFonts w:hint="eastAsia" w:ascii="仿宋_GB2312" w:hAnsi="仿宋_GB2312" w:eastAsia="仿宋_GB2312" w:cs="仿宋_GB2312"/>
              <w:szCs w:val="32"/>
              <w:highlight w:val="none"/>
            </w:rPr>
            <w:fldChar w:fldCharType="separate"/>
          </w:r>
          <w:r>
            <w:rPr>
              <w:rFonts w:hint="eastAsia" w:ascii="黑体" w:hAnsi="黑体" w:eastAsia="黑体" w:cs="黑体"/>
              <w:bCs w:val="0"/>
              <w:szCs w:val="32"/>
              <w:highlight w:val="none"/>
              <w:lang w:eastAsia="zh-CN"/>
            </w:rPr>
            <w:t>七、</w:t>
          </w:r>
          <w:r>
            <w:rPr>
              <w:rFonts w:hint="eastAsia" w:ascii="黑体" w:hAnsi="黑体" w:eastAsia="黑体"/>
              <w:bCs w:val="0"/>
              <w:highlight w:val="none"/>
            </w:rPr>
            <w:t>财政拨款“三公”经费支出决算情况说明</w:t>
          </w:r>
          <w:r>
            <w:tab/>
          </w:r>
          <w:r>
            <w:fldChar w:fldCharType="begin"/>
          </w:r>
          <w:r>
            <w:instrText xml:space="preserve"> PAGEREF _Toc28724 \h </w:instrText>
          </w:r>
          <w:r>
            <w:fldChar w:fldCharType="separate"/>
          </w:r>
          <w:r>
            <w:t>7</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_Toc9787 </w:instrText>
          </w:r>
          <w:r>
            <w:rPr>
              <w:rFonts w:hint="eastAsia" w:ascii="仿宋_GB2312" w:hAnsi="仿宋_GB2312" w:eastAsia="仿宋_GB2312" w:cs="仿宋_GB2312"/>
              <w:szCs w:val="32"/>
              <w:highlight w:val="none"/>
            </w:rPr>
            <w:fldChar w:fldCharType="separate"/>
          </w:r>
          <w:r>
            <w:rPr>
              <w:rFonts w:hint="eastAsia" w:ascii="黑体" w:hAnsi="黑体" w:eastAsia="黑体" w:cs="黑体"/>
              <w:bCs w:val="0"/>
              <w:szCs w:val="32"/>
              <w:highlight w:val="none"/>
              <w:lang w:eastAsia="zh-CN"/>
            </w:rPr>
            <w:t>八、政府性基金预算支出决算情况说明</w:t>
          </w:r>
          <w:r>
            <w:tab/>
          </w:r>
          <w:r>
            <w:fldChar w:fldCharType="begin"/>
          </w:r>
          <w:r>
            <w:instrText xml:space="preserve"> PAGEREF _Toc9787 \h </w:instrText>
          </w:r>
          <w:r>
            <w:fldChar w:fldCharType="separate"/>
          </w:r>
          <w:r>
            <w:t>8</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_Toc14109 </w:instrText>
          </w:r>
          <w:r>
            <w:rPr>
              <w:rFonts w:hint="eastAsia" w:ascii="仿宋_GB2312" w:hAnsi="仿宋_GB2312" w:eastAsia="仿宋_GB2312" w:cs="仿宋_GB2312"/>
              <w:szCs w:val="32"/>
              <w:highlight w:val="none"/>
            </w:rPr>
            <w:fldChar w:fldCharType="separate"/>
          </w:r>
          <w:r>
            <w:rPr>
              <w:rFonts w:hint="eastAsia" w:ascii="黑体" w:hAnsi="黑体" w:eastAsia="黑体" w:cs="黑体"/>
              <w:bCs w:val="0"/>
              <w:szCs w:val="32"/>
              <w:highlight w:val="none"/>
              <w:lang w:eastAsia="zh-CN"/>
            </w:rPr>
            <w:t>九、国有资本经营预算支出决算情况说明</w:t>
          </w:r>
          <w:r>
            <w:tab/>
          </w:r>
          <w:r>
            <w:fldChar w:fldCharType="begin"/>
          </w:r>
          <w:r>
            <w:instrText xml:space="preserve"> PAGEREF _Toc14109 \h </w:instrText>
          </w:r>
          <w:r>
            <w:fldChar w:fldCharType="separate"/>
          </w:r>
          <w:r>
            <w:t>8</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_Toc22661 </w:instrText>
          </w:r>
          <w:r>
            <w:rPr>
              <w:rFonts w:hint="eastAsia" w:ascii="仿宋_GB2312" w:hAnsi="仿宋_GB2312" w:eastAsia="仿宋_GB2312" w:cs="仿宋_GB2312"/>
              <w:szCs w:val="32"/>
              <w:highlight w:val="none"/>
            </w:rPr>
            <w:fldChar w:fldCharType="separate"/>
          </w:r>
          <w:r>
            <w:rPr>
              <w:rFonts w:hint="eastAsia" w:ascii="黑体" w:hAnsi="黑体" w:eastAsia="黑体" w:cs="黑体"/>
              <w:bCs w:val="0"/>
              <w:szCs w:val="32"/>
              <w:highlight w:val="none"/>
              <w:lang w:eastAsia="zh-CN"/>
            </w:rPr>
            <w:t>十、</w:t>
          </w:r>
          <w:r>
            <w:rPr>
              <w:rFonts w:hint="eastAsia" w:ascii="黑体" w:hAnsi="黑体" w:eastAsia="黑体" w:cs="黑体"/>
              <w:bCs w:val="0"/>
              <w:szCs w:val="32"/>
              <w:highlight w:val="none"/>
            </w:rPr>
            <w:t>其他重要事项的情况说明</w:t>
          </w:r>
          <w:r>
            <w:tab/>
          </w:r>
          <w:r>
            <w:fldChar w:fldCharType="begin"/>
          </w:r>
          <w:r>
            <w:instrText xml:space="preserve"> PAGEREF _Toc22661 \h </w:instrText>
          </w:r>
          <w:r>
            <w:fldChar w:fldCharType="separate"/>
          </w:r>
          <w:r>
            <w:t>8</w:t>
          </w:r>
          <w:r>
            <w:fldChar w:fldCharType="end"/>
          </w:r>
          <w:r>
            <w:rPr>
              <w:rFonts w:hint="eastAsia" w:ascii="仿宋_GB2312" w:hAnsi="仿宋_GB2312" w:eastAsia="仿宋_GB2312" w:cs="仿宋_GB2312"/>
              <w:color w:val="auto"/>
              <w:szCs w:val="32"/>
              <w:highlight w:val="none"/>
            </w:rPr>
            <w:fldChar w:fldCharType="end"/>
          </w:r>
        </w:p>
        <w:p>
          <w:pPr>
            <w:pStyle w:val="11"/>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_Toc29016 </w:instrText>
          </w:r>
          <w:r>
            <w:rPr>
              <w:rFonts w:hint="eastAsia" w:ascii="仿宋_GB2312" w:hAnsi="仿宋_GB2312" w:eastAsia="仿宋_GB2312" w:cs="仿宋_GB2312"/>
              <w:szCs w:val="32"/>
              <w:highlight w:val="none"/>
            </w:rPr>
            <w:fldChar w:fldCharType="separate"/>
          </w:r>
          <w:r>
            <w:rPr>
              <w:rFonts w:hint="eastAsia" w:ascii="方正小标宋_GBK" w:hAnsi="方正小标宋_GBK" w:eastAsia="方正小标宋_GBK" w:cs="方正小标宋_GBK"/>
              <w:highlight w:val="none"/>
              <w:lang w:eastAsia="zh-CN"/>
            </w:rPr>
            <w:t>第三部分</w:t>
          </w:r>
          <w:r>
            <w:rPr>
              <w:rFonts w:hint="eastAsia" w:ascii="方正小标宋_GBK" w:hAnsi="方正小标宋_GBK" w:eastAsia="方正小标宋_GBK" w:cs="方正小标宋_GBK"/>
              <w:highlight w:val="none"/>
              <w:lang w:val="en-US" w:eastAsia="zh-CN"/>
            </w:rPr>
            <w:t xml:space="preserve">  </w:t>
          </w:r>
          <w:r>
            <w:rPr>
              <w:rFonts w:hint="eastAsia" w:ascii="方正小标宋_GBK" w:hAnsi="方正小标宋_GBK" w:eastAsia="方正小标宋_GBK" w:cs="方正小标宋_GBK"/>
              <w:highlight w:val="none"/>
            </w:rPr>
            <w:t>名词解释</w:t>
          </w:r>
          <w:r>
            <w:tab/>
          </w:r>
          <w:r>
            <w:fldChar w:fldCharType="begin"/>
          </w:r>
          <w:r>
            <w:instrText xml:space="preserve"> PAGEREF _Toc29016 \h </w:instrText>
          </w:r>
          <w:r>
            <w:fldChar w:fldCharType="separate"/>
          </w:r>
          <w:r>
            <w:t>9</w:t>
          </w:r>
          <w:r>
            <w:fldChar w:fldCharType="end"/>
          </w:r>
          <w:r>
            <w:rPr>
              <w:rFonts w:hint="eastAsia" w:ascii="仿宋_GB2312" w:hAnsi="仿宋_GB2312" w:eastAsia="仿宋_GB2312" w:cs="仿宋_GB2312"/>
              <w:color w:val="auto"/>
              <w:szCs w:val="32"/>
              <w:highlight w:val="none"/>
            </w:rPr>
            <w:fldChar w:fldCharType="end"/>
          </w:r>
        </w:p>
        <w:p>
          <w:pPr>
            <w:pStyle w:val="11"/>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_Toc30312 </w:instrText>
          </w:r>
          <w:r>
            <w:rPr>
              <w:rFonts w:hint="eastAsia" w:ascii="仿宋_GB2312" w:hAnsi="仿宋_GB2312" w:eastAsia="仿宋_GB2312" w:cs="仿宋_GB2312"/>
              <w:szCs w:val="32"/>
              <w:highlight w:val="none"/>
            </w:rPr>
            <w:fldChar w:fldCharType="separate"/>
          </w:r>
          <w:r>
            <w:rPr>
              <w:rFonts w:hint="eastAsia" w:ascii="方正小标宋_GBK" w:hAnsi="方正小标宋_GBK" w:eastAsia="方正小标宋_GBK" w:cs="方正小标宋_GBK"/>
              <w:bCs/>
              <w:kern w:val="44"/>
              <w:szCs w:val="44"/>
              <w:highlight w:val="none"/>
              <w:lang w:val="en-US" w:eastAsia="zh-CN" w:bidi="ar-SA"/>
            </w:rPr>
            <w:t>第四</w:t>
          </w:r>
          <w:r>
            <w:rPr>
              <w:rFonts w:hint="eastAsia" w:ascii="方正小标宋_GBK" w:hAnsi="方正小标宋_GBK" w:eastAsia="方正小标宋_GBK" w:cs="方正小标宋_GBK"/>
              <w:highlight w:val="none"/>
              <w:lang w:val="en-US" w:eastAsia="zh-CN"/>
            </w:rPr>
            <w:t xml:space="preserve">部分  </w:t>
          </w:r>
          <w:r>
            <w:rPr>
              <w:rFonts w:hint="eastAsia" w:ascii="方正小标宋_GBK" w:hAnsi="方正小标宋_GBK" w:eastAsia="方正小标宋_GBK" w:cs="方正小标宋_GBK"/>
              <w:bCs/>
              <w:kern w:val="44"/>
              <w:szCs w:val="44"/>
              <w:highlight w:val="none"/>
              <w:lang w:val="en-US" w:eastAsia="zh-CN" w:bidi="ar-SA"/>
            </w:rPr>
            <w:t>附件</w:t>
          </w:r>
          <w:r>
            <w:tab/>
          </w:r>
          <w:r>
            <w:fldChar w:fldCharType="begin"/>
          </w:r>
          <w:r>
            <w:instrText xml:space="preserve"> PAGEREF _Toc30312 \h </w:instrText>
          </w:r>
          <w:r>
            <w:fldChar w:fldCharType="separate"/>
          </w:r>
          <w:r>
            <w:t>11</w:t>
          </w:r>
          <w:r>
            <w:fldChar w:fldCharType="end"/>
          </w:r>
          <w:r>
            <w:rPr>
              <w:rFonts w:hint="eastAsia" w:ascii="仿宋_GB2312" w:hAnsi="仿宋_GB2312" w:eastAsia="仿宋_GB2312" w:cs="仿宋_GB2312"/>
              <w:color w:val="auto"/>
              <w:szCs w:val="32"/>
              <w:highlight w:val="none"/>
            </w:rPr>
            <w:fldChar w:fldCharType="end"/>
          </w:r>
        </w:p>
        <w:p>
          <w:pPr>
            <w:pStyle w:val="11"/>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_Toc9557 </w:instrText>
          </w:r>
          <w:r>
            <w:rPr>
              <w:rFonts w:hint="eastAsia" w:ascii="仿宋_GB2312" w:hAnsi="仿宋_GB2312" w:eastAsia="仿宋_GB2312" w:cs="仿宋_GB2312"/>
              <w:szCs w:val="32"/>
              <w:highlight w:val="none"/>
            </w:rPr>
            <w:fldChar w:fldCharType="separate"/>
          </w:r>
          <w:r>
            <w:rPr>
              <w:rFonts w:hint="eastAsia" w:ascii="方正小标宋_GBK" w:hAnsi="方正小标宋_GBK" w:eastAsia="方正小标宋_GBK" w:cs="方正小标宋_GBK"/>
              <w:highlight w:val="none"/>
              <w:lang w:val="en-US" w:eastAsia="zh-CN"/>
            </w:rPr>
            <w:t>第五部分  附表</w:t>
          </w:r>
          <w:r>
            <w:tab/>
          </w:r>
          <w:r>
            <w:fldChar w:fldCharType="begin"/>
          </w:r>
          <w:r>
            <w:instrText xml:space="preserve"> PAGEREF _Toc9557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_Toc24591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一、收入支出决算总表</w:t>
          </w:r>
          <w:r>
            <w:tab/>
          </w:r>
          <w:r>
            <w:fldChar w:fldCharType="begin"/>
          </w:r>
          <w:r>
            <w:instrText xml:space="preserve"> PAGEREF _Toc24591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_Toc7296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二、收入决算表</w:t>
          </w:r>
          <w:r>
            <w:tab/>
          </w:r>
          <w:r>
            <w:fldChar w:fldCharType="begin"/>
          </w:r>
          <w:r>
            <w:instrText xml:space="preserve"> PAGEREF _Toc7296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_Toc5181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三、支出决算表</w:t>
          </w:r>
          <w:r>
            <w:tab/>
          </w:r>
          <w:r>
            <w:fldChar w:fldCharType="begin"/>
          </w:r>
          <w:r>
            <w:instrText xml:space="preserve"> PAGEREF _Toc5181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_Toc3334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四、财政拨款收入支出决算总表</w:t>
          </w:r>
          <w:r>
            <w:tab/>
          </w:r>
          <w:r>
            <w:fldChar w:fldCharType="begin"/>
          </w:r>
          <w:r>
            <w:instrText xml:space="preserve"> PAGEREF _Toc3334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_Toc3355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五、财政拨款支出决算明细表</w:t>
          </w:r>
          <w:r>
            <w:tab/>
          </w:r>
          <w:r>
            <w:fldChar w:fldCharType="begin"/>
          </w:r>
          <w:r>
            <w:instrText xml:space="preserve"> PAGEREF _Toc3355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_Toc28219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六、一般公共预算财政拨款支出决算表</w:t>
          </w:r>
          <w:r>
            <w:tab/>
          </w:r>
          <w:r>
            <w:fldChar w:fldCharType="begin"/>
          </w:r>
          <w:r>
            <w:instrText xml:space="preserve"> PAGEREF _Toc28219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_Toc1199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七、一般公共预算财政拨款支出决算明细表</w:t>
          </w:r>
          <w:r>
            <w:tab/>
          </w:r>
          <w:r>
            <w:fldChar w:fldCharType="begin"/>
          </w:r>
          <w:r>
            <w:instrText xml:space="preserve"> PAGEREF _Toc1199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_Toc14856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八、一般公共预算财政拨款基本支出决算表</w:t>
          </w:r>
          <w:r>
            <w:tab/>
          </w:r>
          <w:r>
            <w:fldChar w:fldCharType="begin"/>
          </w:r>
          <w:r>
            <w:instrText xml:space="preserve"> PAGEREF _Toc14856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_Toc32080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九、一般公共预算财政拨款项目支出决算表</w:t>
          </w:r>
          <w:r>
            <w:tab/>
          </w:r>
          <w:r>
            <w:fldChar w:fldCharType="begin"/>
          </w:r>
          <w:r>
            <w:instrText xml:space="preserve"> PAGEREF _Toc32080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_Toc24880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十、政府性基金预算财政拨款收入支出决算表</w:t>
          </w:r>
          <w:r>
            <w:tab/>
          </w:r>
          <w:r>
            <w:fldChar w:fldCharType="begin"/>
          </w:r>
          <w:r>
            <w:instrText xml:space="preserve"> PAGEREF _Toc24880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_Toc25942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十一、国有资本经营预算财政拨款收入支出决算表</w:t>
          </w:r>
          <w:r>
            <w:tab/>
          </w:r>
          <w:r>
            <w:fldChar w:fldCharType="begin"/>
          </w:r>
          <w:r>
            <w:instrText xml:space="preserve"> PAGEREF _Toc25942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_Toc24265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十二、国有资本经营预算财政拨款支出决算表</w:t>
          </w:r>
          <w:r>
            <w:tab/>
          </w:r>
          <w:r>
            <w:fldChar w:fldCharType="begin"/>
          </w:r>
          <w:r>
            <w:instrText xml:space="preserve"> PAGEREF _Toc24265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845"/>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_Toc19563 </w:instrText>
          </w:r>
          <w:r>
            <w:rPr>
              <w:rFonts w:hint="eastAsia" w:ascii="仿宋_GB2312" w:hAnsi="仿宋_GB2312" w:eastAsia="仿宋_GB2312" w:cs="仿宋_GB2312"/>
              <w:szCs w:val="32"/>
              <w:highlight w:val="none"/>
            </w:rPr>
            <w:fldChar w:fldCharType="separate"/>
          </w:r>
          <w:r>
            <w:rPr>
              <w:rFonts w:hint="eastAsia" w:ascii="仿宋_GB2312" w:hAnsi="仿宋_GB2312" w:eastAsia="仿宋_GB2312" w:cs="仿宋_GB2312"/>
              <w:kern w:val="0"/>
              <w:szCs w:val="32"/>
              <w:highlight w:val="none"/>
              <w:lang w:val="en-US" w:eastAsia="zh-CN" w:bidi="ar-SA"/>
            </w:rPr>
            <w:t>十三、财政拨款“三公”经费支出决算表</w:t>
          </w:r>
          <w:r>
            <w:tab/>
          </w:r>
          <w:r>
            <w:fldChar w:fldCharType="begin"/>
          </w:r>
          <w:r>
            <w:instrText xml:space="preserve"> PAGEREF _Toc19563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keepNext w:val="0"/>
            <w:keepLines w:val="0"/>
            <w:pageBreakBefore w:val="0"/>
            <w:kinsoku/>
            <w:wordWrap/>
            <w:overflowPunct/>
            <w:topLinePunct w:val="0"/>
            <w:autoSpaceDE/>
            <w:autoSpaceDN/>
            <w:bidi w:val="0"/>
            <w:adjustRightInd/>
            <w:snapToGrid/>
            <w:spacing w:before="0" w:beforeLines="0" w:after="0" w:afterLines="0" w:line="576" w:lineRule="exact"/>
            <w:ind w:left="0" w:leftChars="0" w:right="0" w:rightChars="0" w:firstLine="0" w:firstLineChars="0"/>
            <w:jc w:val="left"/>
            <w:textAlignment w:val="auto"/>
            <w:rPr>
              <w:rFonts w:hint="eastAsia" w:ascii="仿宋_GB2312" w:hAnsi="仿宋_GB2312" w:eastAsia="仿宋_GB2312" w:cs="仿宋_GB2312"/>
              <w:b/>
              <w:color w:val="auto"/>
              <w:kern w:val="2"/>
              <w:sz w:val="21"/>
              <w:szCs w:val="32"/>
              <w:highlight w:val="none"/>
              <w:lang w:val="en-US" w:eastAsia="zh-CN" w:bidi="ar-SA"/>
            </w:rPr>
          </w:pPr>
          <w:r>
            <w:rPr>
              <w:rFonts w:hint="eastAsia" w:ascii="仿宋_GB2312" w:hAnsi="仿宋_GB2312" w:eastAsia="仿宋_GB2312" w:cs="仿宋_GB2312"/>
              <w:b/>
              <w:color w:val="auto"/>
              <w:sz w:val="32"/>
              <w:szCs w:val="32"/>
              <w:highlight w:val="none"/>
            </w:rPr>
            <w:fldChar w:fldCharType="end"/>
          </w:r>
        </w:p>
      </w:sdtContent>
    </w:sdt>
    <w:p>
      <w:pPr>
        <w:pStyle w:val="2"/>
        <w:rPr>
          <w:rFonts w:hint="eastAsia"/>
        </w:rPr>
      </w:pPr>
    </w:p>
    <w:p>
      <w:pPr>
        <w:pageBreakBefore w:val="0"/>
        <w:kinsoku/>
        <w:wordWrap/>
        <w:overflowPunct/>
        <w:topLinePunct w:val="0"/>
        <w:autoSpaceDE/>
        <w:autoSpaceDN/>
        <w:bidi w:val="0"/>
        <w:spacing w:line="576" w:lineRule="exact"/>
        <w:ind w:left="0" w:leftChars="0" w:firstLine="642" w:firstLineChars="200"/>
        <w:jc w:val="both"/>
        <w:textAlignment w:val="auto"/>
        <w:rPr>
          <w:rFonts w:hint="eastAsia" w:ascii="仿宋_GB2312" w:hAnsi="仿宋_GB2312" w:eastAsia="仿宋_GB2312" w:cs="仿宋_GB2312"/>
          <w:color w:val="auto"/>
          <w:sz w:val="32"/>
          <w:szCs w:val="32"/>
          <w:lang w:val="en-US" w:eastAsia="zh-CN"/>
        </w:rPr>
        <w:sectPr>
          <w:headerReference r:id="rId3" w:type="default"/>
          <w:pgSz w:w="11906" w:h="16838"/>
          <w:pgMar w:top="2098" w:right="1474" w:bottom="1984" w:left="1587" w:header="851" w:footer="992" w:gutter="0"/>
          <w:pgNumType w:fmt="decimal" w:start="1"/>
          <w:cols w:space="0" w:num="1"/>
          <w:rtlGutter w:val="0"/>
          <w:docGrid w:type="lines" w:linePitch="312" w:charSpace="0"/>
        </w:sectPr>
      </w:pPr>
      <w:r>
        <w:rPr>
          <w:rFonts w:hint="eastAsia" w:ascii="仿宋_GB2312" w:hAnsi="仿宋_GB2312" w:eastAsia="仿宋_GB2312" w:cs="仿宋_GB2312"/>
          <w:b/>
          <w:color w:val="auto"/>
          <w:sz w:val="32"/>
          <w:szCs w:val="32"/>
          <w:highlight w:val="none"/>
        </w:rPr>
        <w:br w:type="page"/>
      </w:r>
    </w:p>
    <w:p>
      <w:pPr>
        <w:pStyle w:val="3"/>
        <w:keepNext/>
        <w:keepLines/>
        <w:pageBreakBefore w:val="0"/>
        <w:widowControl w:val="0"/>
        <w:kinsoku/>
        <w:wordWrap/>
        <w:overflowPunct/>
        <w:topLinePunct w:val="0"/>
        <w:autoSpaceDE/>
        <w:autoSpaceDN/>
        <w:bidi w:val="0"/>
        <w:adjustRightInd/>
        <w:snapToGrid/>
        <w:spacing w:before="0" w:after="0" w:line="576" w:lineRule="exact"/>
        <w:ind w:left="0" w:leftChars="0" w:firstLine="0" w:firstLineChars="0"/>
        <w:jc w:val="center"/>
        <w:textAlignment w:val="auto"/>
        <w:rPr>
          <w:rFonts w:hint="eastAsia" w:ascii="黑体" w:hAnsi="黑体" w:eastAsia="黑体" w:cs="黑体"/>
          <w:b w:val="0"/>
          <w:color w:val="auto"/>
          <w:highlight w:val="none"/>
        </w:rPr>
      </w:pPr>
      <w:bookmarkStart w:id="2" w:name="_Toc24049"/>
      <w:r>
        <w:rPr>
          <w:rFonts w:hint="eastAsia" w:ascii="黑体" w:hAnsi="黑体" w:eastAsia="黑体" w:cs="黑体"/>
          <w:b w:val="0"/>
          <w:color w:val="auto"/>
          <w:highlight w:val="none"/>
        </w:rPr>
        <w:t xml:space="preserve">第一部分 </w:t>
      </w:r>
      <w:r>
        <w:rPr>
          <w:rFonts w:hint="eastAsia" w:ascii="黑体" w:hAnsi="黑体" w:eastAsia="黑体" w:cs="黑体"/>
          <w:b w:val="0"/>
          <w:color w:val="auto"/>
          <w:highlight w:val="none"/>
          <w:lang w:eastAsia="zh-CN"/>
        </w:rPr>
        <w:t>单位</w:t>
      </w:r>
      <w:r>
        <w:rPr>
          <w:rFonts w:hint="eastAsia" w:ascii="黑体" w:hAnsi="黑体" w:eastAsia="黑体" w:cs="黑体"/>
          <w:b w:val="0"/>
          <w:color w:val="auto"/>
          <w:highlight w:val="none"/>
        </w:rPr>
        <w:t>概况</w:t>
      </w:r>
      <w:bookmarkEnd w:id="2"/>
    </w:p>
    <w:p>
      <w:pPr>
        <w:pageBreakBefore w:val="0"/>
        <w:widowControl w:val="0"/>
        <w:kinsoku/>
        <w:wordWrap/>
        <w:overflowPunct/>
        <w:topLinePunct w:val="0"/>
        <w:autoSpaceDE/>
        <w:autoSpaceDN/>
        <w:bidi w:val="0"/>
        <w:adjustRightInd/>
        <w:snapToGrid/>
        <w:spacing w:line="540" w:lineRule="exact"/>
        <w:ind w:left="0" w:leftChars="0" w:right="0" w:firstLine="640" w:firstLineChars="200"/>
        <w:jc w:val="both"/>
        <w:textAlignment w:val="auto"/>
        <w:rPr>
          <w:rFonts w:hint="eastAsia" w:ascii="仿宋_GB2312" w:hAnsi="仿宋_GB2312" w:eastAsia="仿宋_GB2312" w:cs="仿宋_GB2312"/>
          <w:color w:val="auto"/>
          <w:sz w:val="32"/>
          <w:szCs w:val="32"/>
        </w:rPr>
      </w:pPr>
    </w:p>
    <w:p>
      <w:pPr>
        <w:pStyle w:val="4"/>
        <w:pageBreakBefore w:val="0"/>
        <w:kinsoku/>
        <w:wordWrap/>
        <w:overflowPunct/>
        <w:topLinePunct w:val="0"/>
        <w:autoSpaceDE/>
        <w:autoSpaceDN/>
        <w:bidi w:val="0"/>
        <w:adjustRightInd/>
        <w:snapToGrid/>
        <w:spacing w:before="0" w:after="0" w:line="540" w:lineRule="exact"/>
        <w:ind w:left="0" w:leftChars="0" w:firstLine="642" w:firstLineChars="200"/>
        <w:jc w:val="both"/>
        <w:textAlignment w:val="auto"/>
        <w:rPr>
          <w:rFonts w:hint="eastAsia"/>
          <w:lang w:eastAsia="zh-CN"/>
        </w:rPr>
      </w:pPr>
      <w:bookmarkStart w:id="3" w:name="_Toc13503"/>
      <w:bookmarkStart w:id="4" w:name="_Toc5281"/>
      <w:bookmarkStart w:id="5" w:name="_Toc15396600"/>
      <w:bookmarkStart w:id="6" w:name="_Toc15377197"/>
      <w:r>
        <w:rPr>
          <w:rFonts w:hint="eastAsia"/>
          <w:lang w:val="en-US" w:eastAsia="zh-CN"/>
        </w:rPr>
        <w:t>一、</w:t>
      </w:r>
      <w:bookmarkEnd w:id="3"/>
      <w:r>
        <w:rPr>
          <w:rStyle w:val="20"/>
          <w:rFonts w:hint="eastAsia" w:ascii="黑体" w:hAnsi="黑体" w:eastAsia="黑体"/>
          <w:b w:val="0"/>
          <w:bCs w:val="0"/>
          <w:color w:val="auto"/>
          <w:highlight w:val="none"/>
          <w:lang w:eastAsia="zh-CN"/>
        </w:rPr>
        <w:t>主要职责</w:t>
      </w:r>
      <w:bookmarkEnd w:id="4"/>
    </w:p>
    <w:bookmarkEnd w:id="5"/>
    <w:bookmarkEnd w:id="6"/>
    <w:p>
      <w:pPr>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Cs/>
          <w:sz w:val="32"/>
          <w:szCs w:val="32"/>
        </w:rPr>
      </w:pPr>
      <w:bookmarkStart w:id="7" w:name="_Toc15377199"/>
      <w:bookmarkStart w:id="8" w:name="_Toc15378446"/>
      <w:bookmarkStart w:id="9" w:name="_Toc8332"/>
      <w:bookmarkStart w:id="10" w:name="_Toc15377204"/>
      <w:bookmarkStart w:id="11" w:name="_Toc15396602"/>
      <w:r>
        <w:rPr>
          <w:rFonts w:hint="eastAsia" w:ascii="仿宋_GB2312" w:hAnsi="仿宋" w:eastAsia="仿宋_GB2312" w:cs="黑体"/>
          <w:bCs/>
          <w:kern w:val="0"/>
          <w:sz w:val="32"/>
          <w:szCs w:val="32"/>
        </w:rPr>
        <w:t>受市自然资源局、辖区人民政府委托，组织编制本辖区国土空间规划、城市设计、</w:t>
      </w:r>
      <w:r>
        <w:rPr>
          <w:rFonts w:hint="eastAsia" w:ascii="仿宋_GB2312" w:hAnsi="仿宋" w:eastAsia="仿宋_GB2312" w:cs="黑体"/>
          <w:bCs/>
          <w:kern w:val="0"/>
          <w:sz w:val="32"/>
          <w:szCs w:val="32"/>
          <w:lang w:eastAsia="zh-CN"/>
        </w:rPr>
        <w:t>概念</w:t>
      </w:r>
      <w:r>
        <w:rPr>
          <w:rFonts w:hint="eastAsia" w:ascii="仿宋_GB2312" w:hAnsi="仿宋" w:eastAsia="仿宋_GB2312" w:cs="黑体"/>
          <w:bCs/>
          <w:kern w:val="0"/>
          <w:sz w:val="32"/>
          <w:szCs w:val="32"/>
        </w:rPr>
        <w:t>规划等；负责指定管辖范围内的项目选址、规划设计前期研究和规划设计方案审查；承担辖区规划管理审批相关事务工作。</w:t>
      </w:r>
    </w:p>
    <w:bookmarkEnd w:id="7"/>
    <w:bookmarkEnd w:id="8"/>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jc w:val="both"/>
        <w:textAlignment w:val="auto"/>
        <w:rPr>
          <w:rFonts w:ascii="黑体" w:hAnsi="宋体" w:eastAsia="黑体" w:cs="黑体"/>
          <w:b w:val="0"/>
          <w:bCs w:val="0"/>
          <w:i w:val="0"/>
          <w:iCs w:val="0"/>
          <w:caps w:val="0"/>
          <w:color w:val="000000"/>
          <w:spacing w:val="0"/>
          <w:sz w:val="32"/>
          <w:szCs w:val="32"/>
          <w:highlight w:val="none"/>
        </w:rPr>
      </w:pPr>
      <w:bookmarkStart w:id="12" w:name="_Toc9563"/>
      <w:r>
        <w:rPr>
          <w:rFonts w:hint="eastAsia" w:ascii="黑体" w:hAnsi="宋体" w:eastAsia="黑体" w:cs="黑体"/>
          <w:b w:val="0"/>
          <w:bCs w:val="0"/>
          <w:i w:val="0"/>
          <w:iCs w:val="0"/>
          <w:caps w:val="0"/>
          <w:color w:val="000000"/>
          <w:spacing w:val="0"/>
          <w:kern w:val="2"/>
          <w:sz w:val="32"/>
          <w:szCs w:val="32"/>
          <w:lang w:val="en-US" w:eastAsia="zh-CN" w:bidi="ar-SA"/>
        </w:rPr>
        <w:t>二、</w:t>
      </w:r>
      <w:r>
        <w:rPr>
          <w:rFonts w:ascii="黑体" w:hAnsi="宋体" w:eastAsia="黑体" w:cs="黑体"/>
          <w:b w:val="0"/>
          <w:bCs w:val="0"/>
          <w:i w:val="0"/>
          <w:iCs w:val="0"/>
          <w:caps w:val="0"/>
          <w:color w:val="000000"/>
          <w:spacing w:val="0"/>
          <w:sz w:val="32"/>
          <w:szCs w:val="32"/>
          <w:highlight w:val="none"/>
        </w:rPr>
        <w:t>机构设置</w:t>
      </w:r>
      <w:bookmarkEnd w:id="9"/>
      <w:bookmarkEnd w:id="12"/>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w:t>
      </w:r>
      <w:r>
        <w:rPr>
          <w:rFonts w:hint="eastAsia" w:ascii="仿宋_GB2312" w:hAnsi="仿宋_GB2312" w:eastAsia="仿宋_GB2312" w:cs="仿宋_GB2312"/>
          <w:b w:val="0"/>
          <w:color w:val="auto"/>
          <w:sz w:val="32"/>
          <w:szCs w:val="32"/>
          <w:lang w:val="en-US" w:eastAsia="zh-CN"/>
        </w:rPr>
        <w:t>广元市广元市国土空间规划编制研究中心部门</w:t>
      </w:r>
      <w:r>
        <w:rPr>
          <w:rFonts w:hint="eastAsia" w:ascii="仿宋_GB2312" w:hAnsi="仿宋_GB2312" w:eastAsia="仿宋_GB2312" w:cs="仿宋_GB2312"/>
          <w:sz w:val="32"/>
          <w:szCs w:val="32"/>
          <w:lang w:val="en-US" w:eastAsia="zh-CN"/>
        </w:rPr>
        <w:t>下属二级预算单位，</w:t>
      </w:r>
      <w:r>
        <w:rPr>
          <w:rFonts w:hint="eastAsia" w:ascii="仿宋_GB2312" w:hAnsi="仿宋_GB2312" w:eastAsia="仿宋_GB2312" w:cs="仿宋_GB2312"/>
          <w:color w:val="auto"/>
          <w:sz w:val="32"/>
          <w:szCs w:val="32"/>
          <w:highlight w:val="none"/>
          <w:lang w:val="en-US" w:eastAsia="zh-CN"/>
        </w:rPr>
        <w:t>根据单位职责分工，</w:t>
      </w:r>
      <w:r>
        <w:rPr>
          <w:rFonts w:hint="eastAsia" w:ascii="仿宋_GB2312" w:hAnsi="仿宋_GB2312" w:eastAsia="仿宋_GB2312" w:cs="仿宋_GB2312"/>
          <w:sz w:val="32"/>
          <w:szCs w:val="32"/>
          <w:lang w:val="en-US" w:eastAsia="zh-CN"/>
        </w:rPr>
        <w:t>本单位无内设机构，本单位无下属机构。</w:t>
      </w:r>
    </w:p>
    <w:bookmarkEnd w:id="10"/>
    <w:bookmarkEnd w:id="11"/>
    <w:p>
      <w:pPr>
        <w:pageBreakBefore w:val="0"/>
        <w:kinsoku/>
        <w:wordWrap/>
        <w:overflowPunct/>
        <w:topLinePunct w:val="0"/>
        <w:autoSpaceDE/>
        <w:autoSpaceDN/>
        <w:bidi w:val="0"/>
        <w:spacing w:line="576" w:lineRule="exact"/>
        <w:ind w:left="0" w:leftChars="0" w:firstLine="420" w:firstLineChars="200"/>
        <w:jc w:val="both"/>
        <w:textAlignment w:val="auto"/>
        <w:rPr>
          <w:rFonts w:hint="eastAsia" w:ascii="黑体" w:hAnsi="黑体" w:eastAsia="黑体"/>
          <w:b w:val="0"/>
          <w:bCs/>
          <w:color w:val="auto"/>
          <w:highlight w:val="none"/>
        </w:rPr>
      </w:pPr>
      <w:r>
        <w:rPr>
          <w:rFonts w:hint="eastAsia" w:ascii="黑体" w:hAnsi="黑体" w:eastAsia="黑体"/>
          <w:b w:val="0"/>
          <w:bCs/>
          <w:color w:val="auto"/>
          <w:highlight w:val="none"/>
        </w:rPr>
        <w:br w:type="page"/>
      </w:r>
    </w:p>
    <w:p>
      <w:pPr>
        <w:pStyle w:val="3"/>
        <w:keepNext/>
        <w:keepLines/>
        <w:pageBreakBefore w:val="0"/>
        <w:widowControl w:val="0"/>
        <w:kinsoku/>
        <w:wordWrap/>
        <w:overflowPunct/>
        <w:topLinePunct w:val="0"/>
        <w:autoSpaceDE/>
        <w:autoSpaceDN/>
        <w:bidi w:val="0"/>
        <w:adjustRightInd/>
        <w:snapToGrid/>
        <w:spacing w:before="0" w:after="0" w:line="576" w:lineRule="exact"/>
        <w:ind w:left="0" w:leftChars="0" w:firstLine="0" w:firstLineChars="0"/>
        <w:jc w:val="center"/>
        <w:textAlignment w:val="auto"/>
        <w:rPr>
          <w:rFonts w:hint="eastAsia" w:ascii="黑体" w:hAnsi="黑体" w:eastAsia="黑体" w:cs="黑体"/>
          <w:b w:val="0"/>
          <w:color w:val="auto"/>
          <w:highlight w:val="none"/>
        </w:rPr>
      </w:pPr>
      <w:bookmarkStart w:id="13" w:name="_Toc16573"/>
      <w:r>
        <w:rPr>
          <w:rFonts w:hint="eastAsia" w:ascii="黑体" w:hAnsi="黑体" w:eastAsia="黑体" w:cs="黑体"/>
          <w:b w:val="0"/>
          <w:color w:val="auto"/>
          <w:highlight w:val="none"/>
        </w:rPr>
        <w:t xml:space="preserve">第二部分 </w:t>
      </w:r>
      <w:r>
        <w:rPr>
          <w:rFonts w:hint="eastAsia" w:ascii="黑体" w:hAnsi="黑体" w:eastAsia="黑体" w:cs="黑体"/>
          <w:b w:val="0"/>
          <w:color w:val="auto"/>
          <w:highlight w:val="none"/>
          <w:lang w:val="en-US" w:eastAsia="zh-CN"/>
        </w:rPr>
        <w:t>2024年度</w:t>
      </w:r>
      <w:r>
        <w:rPr>
          <w:rFonts w:hint="eastAsia" w:ascii="黑体" w:hAnsi="黑体" w:eastAsia="黑体" w:cs="黑体"/>
          <w:b w:val="0"/>
          <w:color w:val="auto"/>
          <w:highlight w:val="none"/>
          <w:lang w:eastAsia="zh-CN"/>
        </w:rPr>
        <w:t>单位</w:t>
      </w:r>
      <w:r>
        <w:rPr>
          <w:rFonts w:hint="eastAsia" w:ascii="黑体" w:hAnsi="黑体" w:eastAsia="黑体" w:cs="黑体"/>
          <w:b w:val="0"/>
          <w:color w:val="auto"/>
          <w:highlight w:val="none"/>
        </w:rPr>
        <w:t>决算情况说明</w:t>
      </w:r>
      <w:bookmarkEnd w:id="13"/>
    </w:p>
    <w:p>
      <w:pPr>
        <w:pageBreakBefore w:val="0"/>
        <w:widowControl w:val="0"/>
        <w:kinsoku/>
        <w:wordWrap/>
        <w:overflowPunct/>
        <w:topLinePunct w:val="0"/>
        <w:bidi w:val="0"/>
        <w:spacing w:line="576" w:lineRule="exact"/>
        <w:ind w:left="0" w:right="0" w:firstLine="0" w:firstLineChars="0"/>
        <w:jc w:val="both"/>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76" w:lineRule="exact"/>
        <w:ind w:left="0" w:right="0" w:firstLine="640" w:firstLineChars="200"/>
        <w:jc w:val="both"/>
        <w:textAlignment w:val="auto"/>
        <w:outlineLvl w:val="1"/>
        <w:rPr>
          <w:rFonts w:hint="eastAsia" w:ascii="黑体" w:hAnsi="黑体" w:eastAsia="黑体" w:cs="黑体"/>
          <w:b w:val="0"/>
          <w:bCs w:val="0"/>
          <w:color w:val="auto"/>
          <w:sz w:val="32"/>
          <w:szCs w:val="32"/>
          <w:highlight w:val="none"/>
          <w:u w:val="none"/>
          <w:lang w:eastAsia="zh-CN"/>
        </w:rPr>
      </w:pPr>
      <w:bookmarkStart w:id="14" w:name="_Toc533"/>
      <w:bookmarkStart w:id="15" w:name="_Toc18582"/>
      <w:bookmarkStart w:id="16" w:name="_Toc15396603"/>
      <w:bookmarkStart w:id="17" w:name="_Toc15377205"/>
      <w:r>
        <w:rPr>
          <w:rFonts w:hint="eastAsia" w:ascii="黑体" w:hAnsi="黑体" w:eastAsia="黑体" w:cs="黑体"/>
          <w:b w:val="0"/>
          <w:bCs w:val="0"/>
          <w:color w:val="auto"/>
          <w:sz w:val="32"/>
          <w:szCs w:val="32"/>
          <w:highlight w:val="none"/>
          <w:u w:val="none"/>
          <w:lang w:eastAsia="zh-CN"/>
        </w:rPr>
        <w:t>一、收入支出决算总体情况说明</w:t>
      </w:r>
      <w:bookmarkEnd w:id="14"/>
      <w:bookmarkEnd w:id="15"/>
      <w:bookmarkEnd w:id="16"/>
      <w:bookmarkEnd w:id="17"/>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color w:val="auto"/>
          <w:sz w:val="32"/>
          <w:szCs w:val="32"/>
          <w:highlight w:val="none"/>
          <w:lang w:val="en-US" w:eastAsia="zh-CN"/>
        </w:rPr>
        <w:t>451.92</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相比，收、支总计各</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lang w:val="en-US" w:eastAsia="zh-CN"/>
        </w:rPr>
        <w:t>158.36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53.94</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lang w:eastAsia="zh-CN"/>
        </w:rPr>
        <w:t>项目经费增加</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rPr>
      </w:pPr>
    </w:p>
    <w:p>
      <w:pPr>
        <w:pStyle w:val="22"/>
        <w:keepNext w:val="0"/>
        <w:keepLines w:val="0"/>
        <w:pageBreakBefore w:val="0"/>
        <w:widowControl w:val="0"/>
        <w:kinsoku/>
        <w:wordWrap/>
        <w:overflowPunct/>
        <w:topLinePunct w:val="0"/>
        <w:autoSpaceDE w:val="0"/>
        <w:autoSpaceDN w:val="0"/>
        <w:bidi w:val="0"/>
        <w:adjustRightInd w:val="0"/>
        <w:snapToGrid/>
        <w:spacing w:line="240" w:lineRule="auto"/>
        <w:ind w:righ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drawing>
          <wp:inline distT="0" distB="0" distL="114300" distR="114300">
            <wp:extent cx="4960620" cy="3139440"/>
            <wp:effectExtent l="4445" t="4445" r="18415"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keepNext w:val="0"/>
        <w:keepLines w:val="0"/>
        <w:pageBreakBefore w:val="0"/>
        <w:widowControl w:val="0"/>
        <w:kinsoku/>
        <w:wordWrap/>
        <w:overflowPunct/>
        <w:topLinePunct w:val="0"/>
        <w:bidi w:val="0"/>
        <w:snapToGrid/>
        <w:spacing w:line="576" w:lineRule="exact"/>
        <w:ind w:righ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（图1：收、支决算总计变动情况图）</w:t>
      </w:r>
    </w:p>
    <w:p>
      <w:pPr>
        <w:keepNext w:val="0"/>
        <w:keepLines w:val="0"/>
        <w:pageBreakBefore w:val="0"/>
        <w:widowControl w:val="0"/>
        <w:kinsoku/>
        <w:wordWrap/>
        <w:overflowPunct/>
        <w:topLinePunct w:val="0"/>
        <w:autoSpaceDE/>
        <w:autoSpaceDN/>
        <w:bidi w:val="0"/>
        <w:adjustRightInd w:val="0"/>
        <w:snapToGrid w:val="0"/>
        <w:spacing w:line="576" w:lineRule="exact"/>
        <w:ind w:left="0" w:right="0" w:firstLine="640" w:firstLineChars="200"/>
        <w:jc w:val="both"/>
        <w:textAlignment w:val="auto"/>
        <w:outlineLvl w:val="9"/>
        <w:rPr>
          <w:rFonts w:hint="eastAsia" w:ascii="黑体" w:hAnsi="黑体" w:eastAsia="黑体" w:cs="黑体"/>
          <w:b w:val="0"/>
          <w:bCs w:val="0"/>
          <w:color w:val="auto"/>
          <w:sz w:val="32"/>
          <w:szCs w:val="32"/>
          <w:highlight w:val="none"/>
          <w:u w:val="none"/>
          <w:lang w:eastAsia="zh-CN"/>
        </w:rPr>
      </w:pPr>
      <w:bookmarkStart w:id="18" w:name="_Toc19917"/>
      <w:bookmarkStart w:id="19" w:name="_Toc15396604"/>
      <w:bookmarkStart w:id="20" w:name="_Toc15377206"/>
    </w:p>
    <w:p>
      <w:pPr>
        <w:keepNext w:val="0"/>
        <w:keepLines w:val="0"/>
        <w:pageBreakBefore w:val="0"/>
        <w:widowControl w:val="0"/>
        <w:kinsoku/>
        <w:wordWrap/>
        <w:overflowPunct/>
        <w:topLinePunct w:val="0"/>
        <w:autoSpaceDE/>
        <w:autoSpaceDN/>
        <w:bidi w:val="0"/>
        <w:adjustRightInd w:val="0"/>
        <w:snapToGrid w:val="0"/>
        <w:spacing w:line="576" w:lineRule="exact"/>
        <w:ind w:left="0" w:right="0" w:firstLine="640" w:firstLineChars="200"/>
        <w:jc w:val="both"/>
        <w:textAlignment w:val="auto"/>
        <w:outlineLvl w:val="1"/>
        <w:rPr>
          <w:rFonts w:hint="eastAsia" w:ascii="黑体" w:hAnsi="黑体" w:eastAsia="黑体" w:cs="黑体"/>
          <w:b w:val="0"/>
          <w:bCs w:val="0"/>
          <w:color w:val="auto"/>
          <w:sz w:val="32"/>
          <w:szCs w:val="32"/>
          <w:highlight w:val="none"/>
          <w:u w:val="none"/>
          <w:lang w:eastAsia="zh-CN"/>
        </w:rPr>
      </w:pPr>
      <w:bookmarkStart w:id="21" w:name="_Toc20231"/>
      <w:r>
        <w:rPr>
          <w:rFonts w:hint="eastAsia" w:ascii="黑体" w:hAnsi="黑体" w:eastAsia="黑体" w:cs="黑体"/>
          <w:b w:val="0"/>
          <w:bCs w:val="0"/>
          <w:color w:val="auto"/>
          <w:sz w:val="32"/>
          <w:szCs w:val="32"/>
          <w:highlight w:val="none"/>
          <w:u w:val="none"/>
          <w:lang w:eastAsia="zh-CN"/>
        </w:rPr>
        <w:t>二、收入决算情况说明</w:t>
      </w:r>
      <w:bookmarkEnd w:id="18"/>
      <w:bookmarkEnd w:id="19"/>
      <w:bookmarkEnd w:id="20"/>
      <w:bookmarkEnd w:id="21"/>
    </w:p>
    <w:p>
      <w:pPr>
        <w:adjustRightInd w:val="0"/>
        <w:snapToGrid w:val="0"/>
        <w:spacing w:beforeLines="0" w:afterLines="0" w:line="576" w:lineRule="exact"/>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年度本年收入合计</w:t>
      </w:r>
      <w:r>
        <w:rPr>
          <w:rFonts w:hint="eastAsia" w:ascii="仿宋_GB2312" w:hAnsi="仿宋_GB2312" w:eastAsia="仿宋_GB2312" w:cs="仿宋_GB2312"/>
          <w:color w:val="auto"/>
          <w:sz w:val="32"/>
          <w:szCs w:val="32"/>
          <w:lang w:val="en-US" w:eastAsia="zh-CN"/>
        </w:rPr>
        <w:t>449.36</w:t>
      </w:r>
      <w:r>
        <w:rPr>
          <w:rFonts w:hint="eastAsia" w:ascii="仿宋_GB2312" w:hAnsi="仿宋_GB2312" w:eastAsia="仿宋_GB2312" w:cs="仿宋_GB2312"/>
          <w:color w:val="auto"/>
          <w:sz w:val="32"/>
          <w:szCs w:val="32"/>
        </w:rPr>
        <w:t>万元，其中：一般公共预算财政拨款收入</w:t>
      </w:r>
      <w:r>
        <w:rPr>
          <w:rFonts w:hint="eastAsia" w:ascii="仿宋_GB2312" w:hAnsi="仿宋_GB2312" w:eastAsia="仿宋_GB2312" w:cs="仿宋_GB2312"/>
          <w:color w:val="auto"/>
          <w:sz w:val="32"/>
          <w:szCs w:val="32"/>
          <w:lang w:val="en-US" w:eastAsia="zh-CN"/>
        </w:rPr>
        <w:t>297.58万元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val="en-US" w:eastAsia="zh-CN"/>
        </w:rPr>
        <w:t>66.22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 w:eastAsia="zh-CN"/>
        </w:rPr>
        <w:t>；其他收入</w:t>
      </w:r>
      <w:r>
        <w:rPr>
          <w:rFonts w:hint="eastAsia" w:ascii="仿宋_GB2312" w:hAnsi="仿宋_GB2312" w:eastAsia="仿宋_GB2312" w:cs="仿宋_GB2312"/>
          <w:color w:val="auto"/>
          <w:sz w:val="32"/>
          <w:szCs w:val="32"/>
          <w:lang w:val="en-US" w:eastAsia="zh-CN"/>
        </w:rPr>
        <w:t>151.78万元，占33.78%。</w:t>
      </w:r>
    </w:p>
    <w:p>
      <w:pPr>
        <w:pStyle w:val="22"/>
        <w:spacing w:beforeLines="0" w:afterLines="0"/>
        <w:jc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drawing>
          <wp:inline distT="0" distB="0" distL="114300" distR="114300">
            <wp:extent cx="4547235" cy="2495550"/>
            <wp:effectExtent l="4445" t="4445" r="20320" b="146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beforeLines="0" w:afterLines="0" w:line="576" w:lineRule="exac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（图2：收入决算结构图）</w:t>
      </w:r>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jc w:val="both"/>
        <w:textAlignment w:val="auto"/>
        <w:outlineLvl w:val="1"/>
        <w:rPr>
          <w:rFonts w:hint="eastAsia" w:ascii="黑体" w:hAnsi="黑体" w:eastAsia="黑体" w:cs="黑体"/>
          <w:b w:val="0"/>
          <w:bCs w:val="0"/>
          <w:color w:val="auto"/>
          <w:sz w:val="32"/>
          <w:szCs w:val="32"/>
          <w:highlight w:val="none"/>
          <w:u w:val="none"/>
          <w:lang w:eastAsia="zh-CN"/>
        </w:rPr>
      </w:pPr>
      <w:bookmarkStart w:id="22" w:name="_Toc15396605"/>
      <w:bookmarkStart w:id="23" w:name="_Toc9664"/>
      <w:bookmarkStart w:id="24" w:name="_Toc15377207"/>
    </w:p>
    <w:p>
      <w:pPr>
        <w:keepNext w:val="0"/>
        <w:keepLines w:val="0"/>
        <w:pageBreakBefore w:val="0"/>
        <w:widowControl w:val="0"/>
        <w:kinsoku/>
        <w:wordWrap/>
        <w:overflowPunct/>
        <w:topLinePunct w:val="0"/>
        <w:autoSpaceDE/>
        <w:autoSpaceDN/>
        <w:bidi w:val="0"/>
        <w:adjustRightInd w:val="0"/>
        <w:snapToGrid w:val="0"/>
        <w:spacing w:line="576" w:lineRule="exact"/>
        <w:ind w:right="0" w:firstLine="640" w:firstLineChars="200"/>
        <w:jc w:val="both"/>
        <w:textAlignment w:val="auto"/>
        <w:outlineLvl w:val="1"/>
        <w:rPr>
          <w:rFonts w:hint="eastAsia" w:ascii="黑体" w:hAnsi="黑体" w:eastAsia="黑体" w:cs="黑体"/>
          <w:b w:val="0"/>
          <w:bCs w:val="0"/>
          <w:color w:val="auto"/>
          <w:sz w:val="32"/>
          <w:szCs w:val="32"/>
          <w:highlight w:val="none"/>
          <w:u w:val="none"/>
          <w:lang w:eastAsia="zh-CN"/>
        </w:rPr>
      </w:pPr>
      <w:bookmarkStart w:id="25" w:name="_Toc4848"/>
      <w:r>
        <w:rPr>
          <w:rFonts w:hint="eastAsia" w:ascii="黑体" w:hAnsi="黑体" w:eastAsia="黑体" w:cs="黑体"/>
          <w:b w:val="0"/>
          <w:bCs w:val="0"/>
          <w:color w:val="auto"/>
          <w:sz w:val="32"/>
          <w:szCs w:val="32"/>
          <w:highlight w:val="none"/>
          <w:u w:val="none"/>
          <w:lang w:eastAsia="zh-CN"/>
        </w:rPr>
        <w:t>三、支出决算情况说明</w:t>
      </w:r>
      <w:bookmarkEnd w:id="22"/>
      <w:bookmarkEnd w:id="23"/>
      <w:bookmarkEnd w:id="24"/>
      <w:bookmarkEnd w:id="25"/>
    </w:p>
    <w:p>
      <w:pPr>
        <w:keepNext w:val="0"/>
        <w:keepLines w:val="0"/>
        <w:pageBreakBefore w:val="0"/>
        <w:widowControl w:val="0"/>
        <w:kinsoku/>
        <w:wordWrap/>
        <w:overflowPunct/>
        <w:topLinePunct w:val="0"/>
        <w:bidi w:val="0"/>
        <w:snapToGrid/>
        <w:spacing w:line="576" w:lineRule="exact"/>
        <w:ind w:left="0" w:leftChars="0" w:right="0" w:firstLine="640" w:firstLineChars="200"/>
        <w:jc w:val="both"/>
        <w:textAlignment w:val="auto"/>
        <w:outlineLvl w:val="1"/>
        <w:rPr>
          <w:rFonts w:hint="eastAsia" w:ascii="仿宋_GB2312" w:hAnsi="仿宋_GB2312" w:eastAsia="仿宋_GB2312" w:cs="仿宋_GB2312"/>
          <w:color w:val="auto"/>
          <w:sz w:val="32"/>
          <w:szCs w:val="32"/>
        </w:rPr>
      </w:pPr>
      <w:bookmarkStart w:id="26" w:name="_Toc8949"/>
      <w:bookmarkStart w:id="27" w:name="_Toc30226"/>
      <w:bookmarkStart w:id="28" w:name="_Toc3662"/>
      <w:bookmarkStart w:id="29" w:name="_Toc15361"/>
      <w:bookmarkStart w:id="30" w:name="_Toc28141"/>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hAnsi="仿宋_GB2312" w:eastAsia="仿宋_GB2312" w:cs="仿宋_GB2312"/>
          <w:color w:val="auto"/>
          <w:sz w:val="32"/>
          <w:szCs w:val="32"/>
        </w:rPr>
        <w:t>本年支出合计</w:t>
      </w:r>
      <w:r>
        <w:rPr>
          <w:rFonts w:hint="eastAsia" w:ascii="仿宋_GB2312" w:hAnsi="仿宋_GB2312" w:eastAsia="仿宋_GB2312" w:cs="仿宋_GB2312"/>
          <w:color w:val="auto"/>
          <w:sz w:val="32"/>
          <w:szCs w:val="32"/>
          <w:lang w:val="en-US" w:eastAsia="zh-CN"/>
        </w:rPr>
        <w:t>451.86万</w:t>
      </w:r>
      <w:r>
        <w:rPr>
          <w:rFonts w:hint="eastAsia" w:ascii="仿宋_GB2312" w:hAnsi="仿宋_GB2312" w:eastAsia="仿宋_GB2312" w:cs="仿宋_GB2312"/>
          <w:color w:val="auto"/>
          <w:sz w:val="32"/>
          <w:szCs w:val="32"/>
        </w:rPr>
        <w:t>元，其中：基本支出</w:t>
      </w:r>
      <w:r>
        <w:rPr>
          <w:rFonts w:hint="eastAsia" w:ascii="仿宋_GB2312" w:hAnsi="仿宋_GB2312" w:eastAsia="仿宋_GB2312" w:cs="仿宋_GB2312"/>
          <w:color w:val="auto"/>
          <w:sz w:val="32"/>
          <w:szCs w:val="32"/>
          <w:lang w:val="en-US" w:eastAsia="zh-CN"/>
        </w:rPr>
        <w:t>314.34</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69.55</w:t>
      </w:r>
      <w:r>
        <w:rPr>
          <w:rFonts w:hint="eastAsia" w:ascii="仿宋_GB2312" w:hAnsi="仿宋_GB2312" w:eastAsia="仿宋_GB2312" w:cs="仿宋_GB2312"/>
          <w:color w:val="auto"/>
          <w:sz w:val="32"/>
          <w:szCs w:val="32"/>
        </w:rPr>
        <w:t>%；项目支出</w:t>
      </w:r>
      <w:r>
        <w:rPr>
          <w:rFonts w:hint="eastAsia" w:ascii="仿宋_GB2312" w:hAnsi="仿宋_GB2312" w:eastAsia="仿宋_GB2312" w:cs="仿宋_GB2312"/>
          <w:color w:val="auto"/>
          <w:sz w:val="32"/>
          <w:szCs w:val="32"/>
          <w:lang w:val="en-US" w:eastAsia="zh-CN"/>
        </w:rPr>
        <w:t>137.51</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27.88</w:t>
      </w:r>
      <w:r>
        <w:rPr>
          <w:rFonts w:hint="eastAsia" w:ascii="仿宋_GB2312" w:hAnsi="仿宋_GB2312" w:eastAsia="仿宋_GB2312" w:cs="仿宋_GB2312"/>
          <w:color w:val="auto"/>
          <w:sz w:val="32"/>
          <w:szCs w:val="32"/>
        </w:rPr>
        <w:t>%。</w:t>
      </w:r>
      <w:bookmarkEnd w:id="26"/>
      <w:bookmarkEnd w:id="27"/>
      <w:bookmarkEnd w:id="28"/>
      <w:bookmarkEnd w:id="29"/>
      <w:bookmarkEnd w:id="30"/>
    </w:p>
    <w:p>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drawing>
          <wp:inline distT="0" distB="0" distL="114300" distR="114300">
            <wp:extent cx="4906645" cy="2644775"/>
            <wp:effectExtent l="4445" t="4445" r="11430" b="1778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val="0"/>
        <w:kinsoku/>
        <w:wordWrap/>
        <w:overflowPunct/>
        <w:topLinePunct w:val="0"/>
        <w:bidi w:val="0"/>
        <w:snapToGrid/>
        <w:spacing w:line="576" w:lineRule="exact"/>
        <w:ind w:righ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（图3：支出决算结构图）</w:t>
      </w:r>
    </w:p>
    <w:p>
      <w:pPr>
        <w:keepNext w:val="0"/>
        <w:keepLines w:val="0"/>
        <w:pageBreakBefore w:val="0"/>
        <w:widowControl w:val="0"/>
        <w:kinsoku/>
        <w:wordWrap/>
        <w:overflowPunct/>
        <w:topLinePunct w:val="0"/>
        <w:autoSpaceDE/>
        <w:autoSpaceDN/>
        <w:bidi w:val="0"/>
        <w:adjustRightInd w:val="0"/>
        <w:snapToGrid w:val="0"/>
        <w:spacing w:line="576" w:lineRule="exact"/>
        <w:ind w:left="0" w:right="0" w:firstLine="640" w:firstLineChars="200"/>
        <w:jc w:val="both"/>
        <w:textAlignment w:val="auto"/>
        <w:outlineLvl w:val="1"/>
        <w:rPr>
          <w:rFonts w:hint="eastAsia" w:ascii="黑体" w:hAnsi="黑体" w:eastAsia="黑体" w:cs="黑体"/>
          <w:b w:val="0"/>
          <w:bCs w:val="0"/>
          <w:color w:val="auto"/>
          <w:sz w:val="32"/>
          <w:szCs w:val="32"/>
          <w:highlight w:val="none"/>
          <w:u w:val="none"/>
          <w:lang w:eastAsia="zh-CN"/>
        </w:rPr>
      </w:pPr>
      <w:bookmarkStart w:id="31" w:name="_Toc13307"/>
      <w:bookmarkStart w:id="32" w:name="_Toc15396606"/>
      <w:bookmarkStart w:id="33" w:name="_Toc4043"/>
      <w:bookmarkStart w:id="34" w:name="_Toc15377208"/>
      <w:r>
        <w:rPr>
          <w:rFonts w:hint="eastAsia" w:ascii="黑体" w:hAnsi="黑体" w:eastAsia="黑体" w:cs="黑体"/>
          <w:b w:val="0"/>
          <w:bCs w:val="0"/>
          <w:color w:val="auto"/>
          <w:sz w:val="32"/>
          <w:szCs w:val="32"/>
          <w:highlight w:val="none"/>
          <w:u w:val="none"/>
          <w:lang w:eastAsia="zh-CN"/>
        </w:rPr>
        <w:t>四、财政拨款收入支出决算总体情况说明</w:t>
      </w:r>
      <w:bookmarkEnd w:id="31"/>
      <w:bookmarkEnd w:id="32"/>
      <w:bookmarkEnd w:id="33"/>
      <w:bookmarkEnd w:id="34"/>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hAnsi="仿宋_GB2312" w:eastAsia="仿宋_GB2312" w:cs="仿宋_GB2312"/>
          <w:color w:val="auto"/>
          <w:sz w:val="32"/>
          <w:szCs w:val="32"/>
        </w:rPr>
        <w:t>财政拨款收、支总计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color w:val="auto"/>
          <w:sz w:val="32"/>
          <w:szCs w:val="32"/>
          <w:lang w:val="en-US" w:eastAsia="zh-CN"/>
        </w:rPr>
        <w:t>297.58</w:t>
      </w:r>
      <w:r>
        <w:rPr>
          <w:rFonts w:hint="eastAsia" w:ascii="仿宋_GB2312" w:hAnsi="仿宋_GB2312" w:eastAsia="仿宋_GB2312" w:cs="仿宋_GB2312"/>
          <w:color w:val="auto"/>
          <w:sz w:val="32"/>
          <w:szCs w:val="32"/>
        </w:rPr>
        <w:t>万元。与202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hAnsi="仿宋_GB2312" w:eastAsia="仿宋_GB2312" w:cs="仿宋_GB2312"/>
          <w:color w:val="auto"/>
          <w:sz w:val="32"/>
          <w:szCs w:val="32"/>
        </w:rPr>
        <w:t>相比，财政拨款收、支总计</w:t>
      </w:r>
      <w:r>
        <w:rPr>
          <w:rFonts w:hint="eastAsia" w:ascii="仿宋_GB2312" w:hAnsi="仿宋_GB2312" w:eastAsia="仿宋_GB2312" w:cs="仿宋_GB2312"/>
          <w:color w:val="auto"/>
          <w:sz w:val="32"/>
          <w:szCs w:val="32"/>
          <w:lang w:eastAsia="zh-CN"/>
        </w:rPr>
        <w:t>各增加</w:t>
      </w:r>
      <w:r>
        <w:rPr>
          <w:rFonts w:hint="default" w:ascii="仿宋_GB2312" w:hAnsi="仿宋_GB2312" w:eastAsia="仿宋_GB2312" w:cs="仿宋_GB2312"/>
          <w:color w:val="auto"/>
          <w:sz w:val="32"/>
          <w:szCs w:val="32"/>
          <w:highlight w:val="none"/>
          <w:lang w:val="en"/>
        </w:rPr>
        <w:t>3</w:t>
      </w:r>
      <w:r>
        <w:rPr>
          <w:rFonts w:hint="eastAsia" w:ascii="仿宋_GB2312" w:hAnsi="仿宋_GB2312" w:eastAsia="仿宋_GB2312" w:cs="仿宋_GB2312"/>
          <w:color w:val="auto"/>
          <w:sz w:val="32"/>
          <w:szCs w:val="32"/>
          <w:highlight w:val="none"/>
          <w:lang w:val="en-US" w:eastAsia="zh-CN"/>
        </w:rPr>
        <w:t>4.58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13.15</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lang w:eastAsia="zh-CN"/>
        </w:rPr>
        <w:t>人员增加</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rPr>
      </w:pPr>
    </w:p>
    <w:p>
      <w:pPr>
        <w:pStyle w:val="22"/>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drawing>
          <wp:inline distT="0" distB="0" distL="114300" distR="114300">
            <wp:extent cx="5332095" cy="2769235"/>
            <wp:effectExtent l="4445" t="4445" r="16510" b="76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val="0"/>
        <w:kinsoku/>
        <w:wordWrap/>
        <w:overflowPunct/>
        <w:topLinePunct w:val="0"/>
        <w:bidi w:val="0"/>
        <w:snapToGrid/>
        <w:spacing w:line="576" w:lineRule="exact"/>
        <w:ind w:right="0"/>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（图4：财政拨款收、支决算总计变动情况）</w:t>
      </w:r>
    </w:p>
    <w:p>
      <w:pPr>
        <w:keepNext w:val="0"/>
        <w:keepLines w:val="0"/>
        <w:pageBreakBefore w:val="0"/>
        <w:widowControl w:val="0"/>
        <w:kinsoku/>
        <w:wordWrap/>
        <w:overflowPunct/>
        <w:topLinePunct w:val="0"/>
        <w:autoSpaceDE/>
        <w:autoSpaceDN/>
        <w:bidi w:val="0"/>
        <w:adjustRightInd w:val="0"/>
        <w:snapToGrid w:val="0"/>
        <w:spacing w:line="576" w:lineRule="exact"/>
        <w:ind w:left="0" w:right="0" w:firstLine="640" w:firstLineChars="200"/>
        <w:jc w:val="both"/>
        <w:textAlignment w:val="auto"/>
        <w:outlineLvl w:val="9"/>
        <w:rPr>
          <w:rFonts w:hint="eastAsia" w:ascii="黑体" w:hAnsi="黑体" w:eastAsia="黑体" w:cs="黑体"/>
          <w:b w:val="0"/>
          <w:bCs w:val="0"/>
          <w:color w:val="auto"/>
          <w:sz w:val="32"/>
          <w:szCs w:val="32"/>
          <w:highlight w:val="none"/>
          <w:u w:val="none"/>
          <w:lang w:eastAsia="zh-CN"/>
        </w:rPr>
      </w:pPr>
      <w:bookmarkStart w:id="35" w:name="_Toc15377209"/>
      <w:bookmarkStart w:id="36" w:name="_Toc10498"/>
      <w:bookmarkStart w:id="37" w:name="_Toc15396607"/>
    </w:p>
    <w:p>
      <w:pPr>
        <w:keepNext w:val="0"/>
        <w:keepLines w:val="0"/>
        <w:pageBreakBefore w:val="0"/>
        <w:widowControl w:val="0"/>
        <w:kinsoku/>
        <w:wordWrap/>
        <w:overflowPunct/>
        <w:topLinePunct w:val="0"/>
        <w:autoSpaceDE/>
        <w:autoSpaceDN/>
        <w:bidi w:val="0"/>
        <w:adjustRightInd w:val="0"/>
        <w:snapToGrid w:val="0"/>
        <w:spacing w:line="576" w:lineRule="exact"/>
        <w:ind w:left="0" w:right="0" w:firstLine="640" w:firstLineChars="200"/>
        <w:jc w:val="both"/>
        <w:textAlignment w:val="auto"/>
        <w:outlineLvl w:val="1"/>
        <w:rPr>
          <w:rFonts w:hint="eastAsia" w:ascii="黑体" w:hAnsi="黑体" w:eastAsia="黑体" w:cs="黑体"/>
          <w:b w:val="0"/>
          <w:bCs w:val="0"/>
          <w:color w:val="auto"/>
          <w:sz w:val="32"/>
          <w:szCs w:val="32"/>
          <w:highlight w:val="none"/>
          <w:u w:val="none"/>
          <w:lang w:eastAsia="zh-CN"/>
        </w:rPr>
      </w:pPr>
      <w:bookmarkStart w:id="38" w:name="_Toc15154"/>
      <w:r>
        <w:rPr>
          <w:rFonts w:hint="eastAsia" w:ascii="黑体" w:hAnsi="黑体" w:eastAsia="黑体" w:cs="黑体"/>
          <w:b w:val="0"/>
          <w:bCs w:val="0"/>
          <w:color w:val="auto"/>
          <w:sz w:val="32"/>
          <w:szCs w:val="32"/>
          <w:highlight w:val="none"/>
          <w:u w:val="none"/>
          <w:lang w:eastAsia="zh-CN"/>
        </w:rPr>
        <w:t>五、一般公共预算财政拨款支出决算情况说明</w:t>
      </w:r>
      <w:bookmarkEnd w:id="35"/>
      <w:bookmarkEnd w:id="36"/>
      <w:bookmarkEnd w:id="37"/>
      <w:bookmarkEnd w:id="38"/>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（一）一般公共预算财政拨款支出决算总体情况</w:t>
      </w:r>
    </w:p>
    <w:p>
      <w:pPr>
        <w:keepNext w:val="0"/>
        <w:keepLines w:val="0"/>
        <w:pageBreakBefore w:val="0"/>
        <w:widowControl w:val="0"/>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hAnsi="仿宋_GB2312" w:eastAsia="仿宋_GB2312" w:cs="仿宋_GB2312"/>
          <w:color w:val="auto"/>
          <w:sz w:val="32"/>
          <w:szCs w:val="32"/>
        </w:rPr>
        <w:t>一般公共预算财政拨款支出</w:t>
      </w:r>
      <w:r>
        <w:rPr>
          <w:rFonts w:hint="eastAsia" w:ascii="仿宋_GB2312" w:hAnsi="仿宋_GB2312" w:eastAsia="仿宋_GB2312" w:cs="仿宋_GB2312"/>
          <w:color w:val="auto"/>
          <w:sz w:val="32"/>
          <w:szCs w:val="32"/>
          <w:lang w:val="en-US" w:eastAsia="zh-CN"/>
        </w:rPr>
        <w:t>297.58</w:t>
      </w:r>
      <w:r>
        <w:rPr>
          <w:rFonts w:hint="eastAsia" w:ascii="仿宋_GB2312" w:hAnsi="仿宋_GB2312" w:eastAsia="仿宋_GB2312" w:cs="仿宋_GB2312"/>
          <w:color w:val="auto"/>
          <w:sz w:val="32"/>
          <w:szCs w:val="32"/>
        </w:rPr>
        <w:t>万元，占本年支出合计的</w:t>
      </w:r>
      <w:r>
        <w:rPr>
          <w:rFonts w:hint="eastAsia" w:ascii="仿宋_GB2312" w:hAnsi="仿宋_GB2312" w:eastAsia="仿宋_GB2312" w:cs="仿宋_GB2312"/>
          <w:color w:val="auto"/>
          <w:sz w:val="32"/>
          <w:szCs w:val="32"/>
          <w:lang w:val="en-US" w:eastAsia="zh-CN"/>
        </w:rPr>
        <w:t>65.85</w:t>
      </w:r>
      <w:r>
        <w:rPr>
          <w:rFonts w:hint="eastAsia" w:ascii="仿宋_GB2312" w:hAnsi="仿宋_GB2312" w:eastAsia="仿宋_GB2312" w:cs="仿宋_GB2312"/>
          <w:color w:val="auto"/>
          <w:sz w:val="32"/>
          <w:szCs w:val="32"/>
        </w:rPr>
        <w:t>%。与202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hAnsi="仿宋_GB2312" w:eastAsia="仿宋_GB2312" w:cs="仿宋_GB2312"/>
          <w:color w:val="auto"/>
          <w:sz w:val="32"/>
          <w:szCs w:val="32"/>
        </w:rPr>
        <w:t>相比，一般公共预算财政拨款支出</w:t>
      </w:r>
      <w:r>
        <w:rPr>
          <w:rFonts w:hint="eastAsia" w:ascii="仿宋_GB2312" w:hAnsi="仿宋_GB2312" w:eastAsia="仿宋_GB2312" w:cs="仿宋_GB2312"/>
          <w:color w:val="auto"/>
          <w:sz w:val="32"/>
          <w:szCs w:val="32"/>
          <w:lang w:eastAsia="zh-CN"/>
        </w:rPr>
        <w:t>增加</w:t>
      </w:r>
      <w:r>
        <w:rPr>
          <w:rFonts w:hint="eastAsia" w:ascii="仿宋_GB2312" w:hAnsi="仿宋_GB2312" w:eastAsia="仿宋_GB2312" w:cs="仿宋_GB2312"/>
          <w:color w:val="auto"/>
          <w:sz w:val="32"/>
          <w:szCs w:val="32"/>
          <w:lang w:val="en-US" w:eastAsia="zh-CN"/>
        </w:rPr>
        <w:t>34.55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13.14</w:t>
      </w:r>
      <w:r>
        <w:rPr>
          <w:rFonts w:hint="eastAsia" w:ascii="仿宋_GB2312" w:hAnsi="仿宋_GB2312" w:eastAsia="仿宋_GB2312" w:cs="仿宋_GB2312"/>
          <w:color w:val="auto"/>
          <w:sz w:val="32"/>
          <w:szCs w:val="32"/>
        </w:rPr>
        <w:t>%。主要变动原因是</w:t>
      </w:r>
      <w:r>
        <w:rPr>
          <w:rFonts w:hint="eastAsia" w:ascii="仿宋_GB2312" w:hAnsi="仿宋_GB2312" w:eastAsia="仿宋_GB2312" w:cs="仿宋_GB2312"/>
          <w:color w:val="auto"/>
          <w:sz w:val="32"/>
          <w:szCs w:val="32"/>
          <w:lang w:eastAsia="zh-CN"/>
        </w:rPr>
        <w:t>人员增加。</w:t>
      </w:r>
    </w:p>
    <w:p>
      <w:pPr>
        <w:pStyle w:val="22"/>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drawing>
          <wp:inline distT="0" distB="0" distL="114300" distR="114300">
            <wp:extent cx="5197475" cy="2328545"/>
            <wp:effectExtent l="4445" t="4445" r="10160" b="1397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widowControl w:val="0"/>
        <w:kinsoku/>
        <w:wordWrap/>
        <w:overflowPunct/>
        <w:topLinePunct w:val="0"/>
        <w:bidi w:val="0"/>
        <w:snapToGrid/>
        <w:spacing w:line="576" w:lineRule="exact"/>
        <w:ind w:righ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（图5：一般公共预算财政拨款支出决算变动情况）</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（二）一般公共预算财政拨款支出决算结构情况</w:t>
      </w:r>
    </w:p>
    <w:p>
      <w:pPr>
        <w:keepNext w:val="0"/>
        <w:keepLines w:val="0"/>
        <w:pageBreakBefore w:val="0"/>
        <w:widowControl w:val="0"/>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hAnsi="仿宋_GB2312" w:eastAsia="仿宋_GB2312" w:cs="仿宋_GB2312"/>
          <w:color w:val="auto"/>
          <w:sz w:val="32"/>
          <w:szCs w:val="32"/>
        </w:rPr>
        <w:t>一般公共预算财政拨款支出</w:t>
      </w:r>
      <w:r>
        <w:rPr>
          <w:rFonts w:hint="eastAsia" w:ascii="仿宋_GB2312" w:hAnsi="仿宋_GB2312" w:eastAsia="仿宋_GB2312" w:cs="仿宋_GB2312"/>
          <w:color w:val="auto"/>
          <w:sz w:val="32"/>
          <w:szCs w:val="32"/>
          <w:lang w:val="en-US" w:eastAsia="zh-CN"/>
        </w:rPr>
        <w:t>297.58</w:t>
      </w:r>
      <w:r>
        <w:rPr>
          <w:rFonts w:hint="eastAsia" w:ascii="仿宋_GB2312" w:hAnsi="仿宋_GB2312" w:eastAsia="仿宋_GB2312" w:cs="仿宋_GB2312"/>
          <w:color w:val="auto"/>
          <w:sz w:val="32"/>
          <w:szCs w:val="32"/>
        </w:rPr>
        <w:t>万元，主要用于以下方面</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val="0"/>
          <w:color w:val="auto"/>
          <w:sz w:val="32"/>
          <w:szCs w:val="32"/>
        </w:rPr>
        <w:t>社会保障和就业（类</w:t>
      </w:r>
      <w:r>
        <w:rPr>
          <w:rFonts w:hint="eastAsia" w:ascii="仿宋_GB2312" w:hAnsi="仿宋_GB2312" w:eastAsia="仿宋_GB2312" w:cs="仿宋_GB2312"/>
          <w:b/>
          <w:color w:val="auto"/>
          <w:sz w:val="32"/>
          <w:szCs w:val="32"/>
        </w:rPr>
        <w:t>）</w:t>
      </w:r>
      <w:r>
        <w:rPr>
          <w:rFonts w:hint="eastAsia"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lang w:val="en-US" w:eastAsia="zh-CN"/>
        </w:rPr>
        <w:t>31.07</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10.44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b/>
          <w:bCs/>
          <w:color w:val="auto"/>
          <w:sz w:val="32"/>
          <w:szCs w:val="32"/>
        </w:rPr>
        <w:t>卫生健康支出</w:t>
      </w:r>
      <w:r>
        <w:rPr>
          <w:rFonts w:hint="eastAsia" w:ascii="仿宋_GB2312" w:hAnsi="仿宋_GB2312" w:eastAsia="仿宋_GB2312" w:cs="仿宋_GB2312"/>
          <w:b/>
          <w:bCs/>
          <w:color w:val="auto"/>
          <w:sz w:val="32"/>
          <w:szCs w:val="32"/>
          <w:lang w:val="en-US" w:eastAsia="zh-CN"/>
        </w:rPr>
        <w:t>9.94</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3.34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b/>
          <w:bCs/>
          <w:color w:val="auto"/>
          <w:sz w:val="32"/>
          <w:szCs w:val="32"/>
        </w:rPr>
        <w:t>城乡社区支出</w:t>
      </w:r>
      <w:r>
        <w:rPr>
          <w:rFonts w:hint="eastAsia" w:ascii="仿宋_GB2312" w:hAnsi="仿宋_GB2312" w:eastAsia="仿宋_GB2312" w:cs="仿宋_GB2312"/>
          <w:color w:val="auto"/>
          <w:sz w:val="32"/>
          <w:szCs w:val="32"/>
          <w:lang w:val="en-US" w:eastAsia="zh-CN"/>
        </w:rPr>
        <w:t>234.11</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78.67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b/>
          <w:bCs/>
          <w:color w:val="auto"/>
          <w:sz w:val="32"/>
          <w:szCs w:val="32"/>
        </w:rPr>
        <w:t>住房保障支出</w:t>
      </w:r>
      <w:r>
        <w:rPr>
          <w:rFonts w:hint="eastAsia" w:ascii="仿宋_GB2312" w:hAnsi="仿宋_GB2312" w:eastAsia="仿宋_GB2312" w:cs="仿宋_GB2312"/>
          <w:color w:val="auto"/>
          <w:sz w:val="32"/>
          <w:szCs w:val="32"/>
          <w:lang w:val="en-US" w:eastAsia="zh-CN"/>
        </w:rPr>
        <w:t>22.46</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7.55</w:t>
      </w:r>
      <w:r>
        <w:rPr>
          <w:rFonts w:hint="eastAsia" w:ascii="仿宋_GB2312" w:hAnsi="仿宋_GB2312" w:eastAsia="仿宋_GB2312" w:cs="仿宋_GB2312"/>
          <w:color w:val="auto"/>
          <w:sz w:val="32"/>
          <w:szCs w:val="32"/>
        </w:rPr>
        <w:t>%；</w:t>
      </w:r>
    </w:p>
    <w:p>
      <w:pPr>
        <w:pStyle w:val="22"/>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firstLine="0" w:firstLineChars="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drawing>
          <wp:inline distT="0" distB="0" distL="114300" distR="114300">
            <wp:extent cx="4437380" cy="2493645"/>
            <wp:effectExtent l="4445" t="5080" r="8255" b="1587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pageBreakBefore w:val="0"/>
        <w:widowControl w:val="0"/>
        <w:kinsoku/>
        <w:wordWrap/>
        <w:overflowPunct/>
        <w:topLinePunct w:val="0"/>
        <w:bidi w:val="0"/>
        <w:snapToGrid/>
        <w:spacing w:line="576" w:lineRule="exact"/>
        <w:ind w:righ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（图6：一般公共预算财政拨款支出决算结构）</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bookmarkStart w:id="39" w:name="_Toc16406"/>
      <w:bookmarkStart w:id="40" w:name="_Toc22244"/>
      <w:bookmarkStart w:id="41" w:name="_Toc15377444"/>
      <w:bookmarkStart w:id="42" w:name="_Toc18099"/>
      <w:bookmarkStart w:id="43" w:name="_Toc15378460"/>
      <w:bookmarkStart w:id="44" w:name="_Toc15377213"/>
      <w:r>
        <w:rPr>
          <w:rFonts w:hint="eastAsia" w:ascii="楷体_GB2312" w:hAnsi="楷体_GB2312" w:eastAsia="楷体_GB2312" w:cs="楷体_GB2312"/>
          <w:b w:val="0"/>
          <w:bCs/>
          <w:color w:val="auto"/>
          <w:sz w:val="32"/>
          <w:szCs w:val="32"/>
          <w:highlight w:val="none"/>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2" w:firstLineChars="200"/>
        <w:jc w:val="both"/>
        <w:textAlignment w:val="auto"/>
        <w:outlineLvl w:val="1"/>
        <w:rPr>
          <w:rFonts w:hint="eastAsia" w:ascii="仿宋_GB2312" w:hAnsi="仿宋_GB2312" w:eastAsia="仿宋_GB2312" w:cs="仿宋_GB2312"/>
          <w:b/>
          <w:color w:val="auto"/>
          <w:sz w:val="32"/>
          <w:szCs w:val="32"/>
        </w:rPr>
      </w:pPr>
      <w:bookmarkStart w:id="45" w:name="_Toc15897"/>
      <w:bookmarkStart w:id="46" w:name="_Toc17320"/>
      <w:r>
        <w:rPr>
          <w:rFonts w:hint="eastAsia" w:ascii="仿宋_GB2312" w:hAnsi="仿宋_GB2312" w:eastAsia="仿宋_GB2312" w:cs="仿宋_GB2312"/>
          <w:b/>
          <w:color w:val="auto"/>
          <w:sz w:val="32"/>
          <w:szCs w:val="32"/>
        </w:rPr>
        <w:t>202</w:t>
      </w: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rPr>
        <w:t>年</w:t>
      </w:r>
      <w:r>
        <w:rPr>
          <w:rFonts w:hint="eastAsia" w:ascii="仿宋_GB2312" w:hAnsi="仿宋_GB2312" w:eastAsia="仿宋_GB2312" w:cs="仿宋_GB2312"/>
          <w:b/>
          <w:color w:val="auto"/>
          <w:sz w:val="32"/>
          <w:szCs w:val="32"/>
          <w:lang w:eastAsia="zh-CN"/>
        </w:rPr>
        <w:t>度</w:t>
      </w:r>
      <w:r>
        <w:rPr>
          <w:rFonts w:hint="eastAsia" w:ascii="仿宋_GB2312" w:hAnsi="仿宋_GB2312" w:eastAsia="仿宋_GB2312" w:cs="仿宋_GB2312"/>
          <w:b/>
          <w:color w:val="auto"/>
          <w:sz w:val="32"/>
          <w:szCs w:val="32"/>
        </w:rPr>
        <w:t>一般公共预算支出决算数为</w:t>
      </w:r>
      <w:r>
        <w:rPr>
          <w:rFonts w:hint="eastAsia" w:ascii="仿宋_GB2312" w:hAnsi="仿宋_GB2312" w:eastAsia="仿宋_GB2312" w:cs="仿宋_GB2312"/>
          <w:b/>
          <w:color w:val="auto"/>
          <w:sz w:val="32"/>
          <w:szCs w:val="32"/>
          <w:lang w:val="en-US" w:eastAsia="zh-CN"/>
        </w:rPr>
        <w:t>297.58</w:t>
      </w:r>
      <w:r>
        <w:rPr>
          <w:rFonts w:hint="eastAsia" w:ascii="仿宋_GB2312" w:hAnsi="仿宋_GB2312" w:eastAsia="仿宋_GB2312" w:cs="仿宋_GB2312"/>
          <w:b/>
          <w:color w:val="auto"/>
          <w:sz w:val="32"/>
          <w:szCs w:val="32"/>
        </w:rPr>
        <w:t>万元</w:t>
      </w:r>
      <w:r>
        <w:rPr>
          <w:rFonts w:hint="eastAsia" w:ascii="仿宋_GB2312" w:hAnsi="仿宋_GB2312" w:eastAsia="仿宋_GB2312" w:cs="仿宋_GB2312"/>
          <w:color w:val="auto"/>
          <w:sz w:val="32"/>
          <w:szCs w:val="32"/>
        </w:rPr>
        <w:t>，</w:t>
      </w:r>
      <w:r>
        <w:rPr>
          <w:rStyle w:val="17"/>
          <w:rFonts w:hint="eastAsia" w:ascii="仿宋_GB2312" w:hAnsi="仿宋_GB2312" w:eastAsia="仿宋_GB2312" w:cs="仿宋_GB2312"/>
          <w:bCs/>
          <w:color w:val="auto"/>
          <w:sz w:val="32"/>
          <w:szCs w:val="32"/>
        </w:rPr>
        <w:t>完成预算</w:t>
      </w:r>
      <w:r>
        <w:rPr>
          <w:rStyle w:val="17"/>
          <w:rFonts w:hint="eastAsia" w:ascii="仿宋_GB2312" w:hAnsi="仿宋_GB2312" w:eastAsia="仿宋_GB2312" w:cs="仿宋_GB2312"/>
          <w:bCs/>
          <w:color w:val="auto"/>
          <w:sz w:val="32"/>
          <w:szCs w:val="32"/>
          <w:lang w:val="en-US" w:eastAsia="zh-CN"/>
        </w:rPr>
        <w:t>100</w:t>
      </w:r>
      <w:r>
        <w:rPr>
          <w:rStyle w:val="17"/>
          <w:rFonts w:hint="eastAsia" w:ascii="仿宋_GB2312" w:hAnsi="仿宋_GB2312" w:eastAsia="仿宋_GB2312" w:cs="仿宋_GB2312"/>
          <w:bCs/>
          <w:color w:val="auto"/>
          <w:sz w:val="32"/>
          <w:szCs w:val="32"/>
        </w:rPr>
        <w:t>%。其中：</w:t>
      </w:r>
      <w:bookmarkEnd w:id="39"/>
      <w:bookmarkEnd w:id="40"/>
      <w:bookmarkEnd w:id="41"/>
      <w:bookmarkEnd w:id="42"/>
      <w:bookmarkEnd w:id="43"/>
      <w:bookmarkEnd w:id="44"/>
      <w:bookmarkEnd w:id="45"/>
      <w:bookmarkEnd w:id="46"/>
    </w:p>
    <w:p>
      <w:pPr>
        <w:spacing w:line="520" w:lineRule="exact"/>
        <w:ind w:firstLine="642" w:firstLineChars="200"/>
        <w:rPr>
          <w:rStyle w:val="17"/>
          <w:rFonts w:hint="eastAsia" w:ascii="仿宋_GB2312" w:hAnsi="仿宋_GB2312" w:eastAsia="仿宋_GB2312" w:cs="仿宋_GB2312"/>
          <w:b w:val="0"/>
          <w:bCs/>
          <w:sz w:val="32"/>
          <w:szCs w:val="32"/>
        </w:rPr>
      </w:pPr>
      <w:bookmarkStart w:id="47" w:name="_Toc6814"/>
      <w:bookmarkStart w:id="48" w:name="_Toc15377214"/>
      <w:bookmarkStart w:id="49" w:name="_Toc15396608"/>
      <w:r>
        <w:rPr>
          <w:rStyle w:val="17"/>
          <w:rFonts w:hint="eastAsia" w:ascii="仿宋_GB2312" w:hAnsi="仿宋_GB2312" w:eastAsia="仿宋_GB2312" w:cs="仿宋_GB2312"/>
          <w:bCs/>
          <w:color w:val="000000"/>
          <w:sz w:val="32"/>
          <w:szCs w:val="32"/>
        </w:rPr>
        <w:t>1.社会保障和就业支出（类）行政事业单位养老支出（款）机关事业单位基本养老保险缴费支出（项）</w:t>
      </w:r>
      <w:r>
        <w:rPr>
          <w:rStyle w:val="17"/>
          <w:rFonts w:hint="eastAsia" w:ascii="仿宋_GB2312" w:hAnsi="仿宋_GB2312" w:eastAsia="仿宋_GB2312" w:cs="仿宋_GB2312"/>
          <w:bCs/>
          <w:color w:val="000000"/>
          <w:sz w:val="32"/>
          <w:szCs w:val="32"/>
          <w:lang w:eastAsia="zh-CN"/>
        </w:rPr>
        <w:t>：</w:t>
      </w:r>
      <w:r>
        <w:rPr>
          <w:rStyle w:val="17"/>
          <w:rFonts w:hint="eastAsia" w:ascii="仿宋_GB2312" w:hAnsi="仿宋_GB2312" w:eastAsia="仿宋_GB2312" w:cs="仿宋_GB2312"/>
          <w:b w:val="0"/>
          <w:bCs/>
          <w:color w:val="000000"/>
          <w:sz w:val="32"/>
          <w:szCs w:val="32"/>
        </w:rPr>
        <w:t>支出决算为</w:t>
      </w:r>
      <w:r>
        <w:rPr>
          <w:rStyle w:val="17"/>
          <w:rFonts w:hint="eastAsia" w:ascii="仿宋_GB2312" w:hAnsi="仿宋_GB2312" w:eastAsia="仿宋_GB2312" w:cs="仿宋_GB2312"/>
          <w:b w:val="0"/>
          <w:bCs/>
          <w:color w:val="000000"/>
          <w:sz w:val="32"/>
          <w:szCs w:val="32"/>
          <w:lang w:val="en-US" w:eastAsia="zh-CN"/>
        </w:rPr>
        <w:t>26.69</w:t>
      </w:r>
      <w:r>
        <w:rPr>
          <w:rStyle w:val="17"/>
          <w:rFonts w:hint="eastAsia" w:ascii="仿宋_GB2312" w:hAnsi="仿宋_GB2312" w:eastAsia="仿宋_GB2312" w:cs="仿宋_GB2312"/>
          <w:b w:val="0"/>
          <w:bCs/>
          <w:color w:val="000000"/>
          <w:sz w:val="32"/>
          <w:szCs w:val="32"/>
        </w:rPr>
        <w:t>万元，完成预算100%</w:t>
      </w:r>
      <w:r>
        <w:rPr>
          <w:rStyle w:val="17"/>
          <w:rFonts w:hint="eastAsia" w:ascii="仿宋_GB2312" w:hAnsi="仿宋_GB2312" w:eastAsia="仿宋_GB2312" w:cs="仿宋_GB2312"/>
          <w:b w:val="0"/>
          <w:bCs/>
          <w:sz w:val="32"/>
          <w:szCs w:val="32"/>
        </w:rPr>
        <w:t>；</w:t>
      </w:r>
    </w:p>
    <w:p>
      <w:pPr>
        <w:spacing w:line="520" w:lineRule="exact"/>
        <w:ind w:firstLine="642" w:firstLineChars="200"/>
        <w:rPr>
          <w:rStyle w:val="17"/>
          <w:rFonts w:hint="eastAsia" w:ascii="仿宋_GB2312" w:hAnsi="仿宋_GB2312" w:eastAsia="仿宋_GB2312" w:cs="仿宋_GB2312"/>
          <w:b w:val="0"/>
          <w:bCs/>
          <w:sz w:val="32"/>
          <w:szCs w:val="32"/>
        </w:rPr>
      </w:pPr>
      <w:r>
        <w:rPr>
          <w:rStyle w:val="17"/>
          <w:rFonts w:hint="eastAsia" w:ascii="仿宋_GB2312" w:hAnsi="仿宋_GB2312" w:eastAsia="仿宋_GB2312" w:cs="仿宋_GB2312"/>
          <w:bCs/>
          <w:color w:val="000000"/>
          <w:sz w:val="32"/>
          <w:szCs w:val="32"/>
          <w:lang w:val="en-US" w:eastAsia="zh-CN"/>
        </w:rPr>
        <w:t>2.</w:t>
      </w:r>
      <w:r>
        <w:rPr>
          <w:rStyle w:val="17"/>
          <w:rFonts w:hint="eastAsia" w:ascii="仿宋_GB2312" w:hAnsi="仿宋_GB2312" w:eastAsia="仿宋_GB2312" w:cs="仿宋_GB2312"/>
          <w:bCs/>
          <w:color w:val="000000"/>
          <w:sz w:val="32"/>
          <w:szCs w:val="32"/>
        </w:rPr>
        <w:t>社会保障和就业支出（类）行政事业单位养老支出（款）机关事业单位职业年金缴费支出（项）</w:t>
      </w:r>
      <w:r>
        <w:rPr>
          <w:rStyle w:val="17"/>
          <w:rFonts w:hint="eastAsia" w:ascii="仿宋_GB2312" w:hAnsi="仿宋_GB2312" w:eastAsia="仿宋_GB2312" w:cs="仿宋_GB2312"/>
          <w:bCs/>
          <w:color w:val="000000"/>
          <w:sz w:val="32"/>
          <w:szCs w:val="32"/>
          <w:lang w:eastAsia="zh-CN"/>
        </w:rPr>
        <w:t>：</w:t>
      </w:r>
      <w:r>
        <w:rPr>
          <w:rStyle w:val="17"/>
          <w:rFonts w:hint="eastAsia" w:ascii="仿宋_GB2312" w:hAnsi="仿宋_GB2312" w:eastAsia="仿宋_GB2312" w:cs="仿宋_GB2312"/>
          <w:b w:val="0"/>
          <w:bCs/>
          <w:color w:val="000000"/>
          <w:sz w:val="32"/>
          <w:szCs w:val="32"/>
        </w:rPr>
        <w:t>支出决算为</w:t>
      </w:r>
      <w:r>
        <w:rPr>
          <w:rStyle w:val="17"/>
          <w:rFonts w:hint="eastAsia" w:ascii="仿宋_GB2312" w:hAnsi="仿宋_GB2312" w:eastAsia="仿宋_GB2312" w:cs="仿宋_GB2312"/>
          <w:b w:val="0"/>
          <w:bCs/>
          <w:color w:val="000000"/>
          <w:sz w:val="28"/>
          <w:szCs w:val="28"/>
          <w:lang w:val="en-US" w:eastAsia="zh-CN"/>
        </w:rPr>
        <w:t>3.37</w:t>
      </w:r>
      <w:r>
        <w:rPr>
          <w:rStyle w:val="17"/>
          <w:rFonts w:hint="eastAsia" w:ascii="仿宋_GB2312" w:hAnsi="仿宋_GB2312" w:eastAsia="仿宋_GB2312" w:cs="仿宋_GB2312"/>
          <w:b w:val="0"/>
          <w:bCs/>
          <w:color w:val="000000"/>
          <w:sz w:val="32"/>
          <w:szCs w:val="32"/>
        </w:rPr>
        <w:t>万元，完成预算100%</w:t>
      </w:r>
      <w:r>
        <w:rPr>
          <w:rStyle w:val="17"/>
          <w:rFonts w:hint="eastAsia" w:ascii="仿宋_GB2312" w:hAnsi="仿宋_GB2312" w:eastAsia="仿宋_GB2312" w:cs="仿宋_GB2312"/>
          <w:b w:val="0"/>
          <w:bCs/>
          <w:sz w:val="32"/>
          <w:szCs w:val="32"/>
        </w:rPr>
        <w:t>；</w:t>
      </w:r>
    </w:p>
    <w:p>
      <w:pPr>
        <w:spacing w:line="520" w:lineRule="exact"/>
        <w:ind w:firstLine="642" w:firstLineChars="200"/>
        <w:rPr>
          <w:rStyle w:val="17"/>
          <w:rFonts w:ascii="仿宋_GB2312" w:hAnsi="仿宋_GB2312" w:eastAsia="仿宋_GB2312" w:cs="仿宋_GB2312"/>
          <w:b w:val="0"/>
          <w:bCs/>
          <w:color w:val="000000"/>
          <w:sz w:val="32"/>
          <w:szCs w:val="32"/>
        </w:rPr>
      </w:pPr>
      <w:r>
        <w:rPr>
          <w:rStyle w:val="17"/>
          <w:rFonts w:hint="eastAsia" w:ascii="仿宋_GB2312" w:hAnsi="仿宋_GB2312" w:eastAsia="仿宋_GB2312" w:cs="仿宋_GB2312"/>
          <w:bCs/>
          <w:color w:val="000000"/>
          <w:sz w:val="32"/>
          <w:szCs w:val="32"/>
          <w:lang w:val="en-US" w:eastAsia="zh-CN"/>
        </w:rPr>
        <w:t>3.</w:t>
      </w:r>
      <w:r>
        <w:rPr>
          <w:rStyle w:val="17"/>
          <w:rFonts w:hint="eastAsia" w:ascii="仿宋_GB2312" w:hAnsi="仿宋_GB2312" w:eastAsia="仿宋_GB2312" w:cs="仿宋_GB2312"/>
          <w:bCs/>
          <w:color w:val="000000"/>
          <w:sz w:val="32"/>
          <w:szCs w:val="32"/>
        </w:rPr>
        <w:t>社会保障和就业支出（类）其他社会和保障就业支出（款）其他社会和保障就业支出（项）</w:t>
      </w:r>
      <w:r>
        <w:rPr>
          <w:rStyle w:val="17"/>
          <w:rFonts w:hint="eastAsia" w:ascii="仿宋_GB2312" w:hAnsi="仿宋_GB2312" w:eastAsia="仿宋_GB2312" w:cs="仿宋_GB2312"/>
          <w:bCs/>
          <w:color w:val="000000"/>
          <w:sz w:val="32"/>
          <w:szCs w:val="32"/>
          <w:lang w:eastAsia="zh-CN"/>
        </w:rPr>
        <w:t>：</w:t>
      </w:r>
      <w:r>
        <w:rPr>
          <w:rStyle w:val="17"/>
          <w:rFonts w:hint="eastAsia" w:ascii="仿宋_GB2312" w:hAnsi="仿宋_GB2312" w:eastAsia="仿宋_GB2312" w:cs="仿宋_GB2312"/>
          <w:b w:val="0"/>
          <w:bCs/>
          <w:color w:val="000000"/>
          <w:sz w:val="32"/>
          <w:szCs w:val="32"/>
        </w:rPr>
        <w:t>支出决算为</w:t>
      </w:r>
      <w:r>
        <w:rPr>
          <w:rStyle w:val="17"/>
          <w:rFonts w:hint="eastAsia" w:ascii="仿宋_GB2312" w:hAnsi="仿宋_GB2312" w:eastAsia="仿宋_GB2312" w:cs="仿宋_GB2312"/>
          <w:b w:val="0"/>
          <w:bCs/>
          <w:color w:val="000000"/>
          <w:sz w:val="32"/>
          <w:szCs w:val="32"/>
          <w:lang w:val="en-US" w:eastAsia="zh-CN"/>
        </w:rPr>
        <w:t>1.01</w:t>
      </w:r>
      <w:r>
        <w:rPr>
          <w:rStyle w:val="17"/>
          <w:rFonts w:hint="eastAsia" w:ascii="仿宋_GB2312" w:hAnsi="仿宋_GB2312" w:eastAsia="仿宋_GB2312" w:cs="仿宋_GB2312"/>
          <w:b w:val="0"/>
          <w:bCs/>
          <w:color w:val="000000"/>
          <w:sz w:val="32"/>
          <w:szCs w:val="32"/>
        </w:rPr>
        <w:t>万元，完成预算100%。</w:t>
      </w:r>
    </w:p>
    <w:p>
      <w:pPr>
        <w:spacing w:line="520" w:lineRule="exact"/>
        <w:ind w:firstLine="642" w:firstLineChars="200"/>
        <w:rPr>
          <w:rFonts w:ascii="仿宋_GB2312" w:hAnsi="仿宋_GB2312" w:eastAsia="仿宋_GB2312" w:cs="仿宋_GB2312"/>
          <w:b/>
          <w:sz w:val="32"/>
          <w:szCs w:val="32"/>
        </w:rPr>
      </w:pPr>
      <w:r>
        <w:rPr>
          <w:rStyle w:val="17"/>
          <w:rFonts w:hint="eastAsia" w:ascii="仿宋_GB2312" w:hAnsi="仿宋_GB2312" w:eastAsia="仿宋_GB2312" w:cs="仿宋_GB2312"/>
          <w:bCs/>
          <w:sz w:val="32"/>
          <w:szCs w:val="32"/>
          <w:lang w:val="en-US" w:eastAsia="zh-CN"/>
        </w:rPr>
        <w:t>4</w:t>
      </w:r>
      <w:r>
        <w:rPr>
          <w:rStyle w:val="17"/>
          <w:rFonts w:hint="eastAsia" w:ascii="仿宋_GB2312" w:hAnsi="仿宋_GB2312" w:eastAsia="仿宋_GB2312" w:cs="仿宋_GB2312"/>
          <w:bCs/>
          <w:sz w:val="32"/>
          <w:szCs w:val="32"/>
        </w:rPr>
        <w:t>.</w:t>
      </w:r>
      <w:r>
        <w:rPr>
          <w:rStyle w:val="17"/>
          <w:rFonts w:hint="eastAsia" w:ascii="仿宋_GB2312" w:hAnsi="仿宋_GB2312" w:eastAsia="仿宋_GB2312" w:cs="仿宋_GB2312"/>
          <w:bCs/>
          <w:color w:val="000000"/>
          <w:sz w:val="32"/>
          <w:szCs w:val="32"/>
        </w:rPr>
        <w:t>卫生健康支出（类）行政事业单位医疗（款）事业单位医疗（项）</w:t>
      </w:r>
      <w:r>
        <w:rPr>
          <w:rStyle w:val="17"/>
          <w:rFonts w:hint="eastAsia" w:ascii="仿宋_GB2312" w:hAnsi="仿宋_GB2312" w:eastAsia="仿宋_GB2312" w:cs="仿宋_GB2312"/>
          <w:bCs/>
          <w:color w:val="000000"/>
          <w:sz w:val="32"/>
          <w:szCs w:val="32"/>
          <w:lang w:eastAsia="zh-CN"/>
        </w:rPr>
        <w:t>：</w:t>
      </w:r>
      <w:r>
        <w:rPr>
          <w:rStyle w:val="17"/>
          <w:rFonts w:hint="eastAsia" w:ascii="仿宋_GB2312" w:hAnsi="仿宋_GB2312" w:eastAsia="仿宋_GB2312" w:cs="仿宋_GB2312"/>
          <w:b w:val="0"/>
          <w:bCs/>
          <w:sz w:val="32"/>
          <w:szCs w:val="32"/>
        </w:rPr>
        <w:t>支出决算为</w:t>
      </w:r>
      <w:r>
        <w:rPr>
          <w:rStyle w:val="17"/>
          <w:rFonts w:hint="eastAsia" w:ascii="仿宋_GB2312" w:hAnsi="仿宋_GB2312" w:eastAsia="仿宋_GB2312" w:cs="仿宋_GB2312"/>
          <w:b w:val="0"/>
          <w:bCs/>
          <w:sz w:val="32"/>
          <w:szCs w:val="32"/>
          <w:lang w:val="en-US" w:eastAsia="zh-CN"/>
        </w:rPr>
        <w:t>9.94</w:t>
      </w:r>
      <w:r>
        <w:rPr>
          <w:rStyle w:val="17"/>
          <w:rFonts w:hint="eastAsia" w:ascii="仿宋_GB2312" w:hAnsi="仿宋_GB2312" w:eastAsia="仿宋_GB2312" w:cs="仿宋_GB2312"/>
          <w:b w:val="0"/>
          <w:bCs/>
          <w:sz w:val="32"/>
          <w:szCs w:val="32"/>
        </w:rPr>
        <w:t>万元，完成预算100%。</w:t>
      </w:r>
    </w:p>
    <w:p>
      <w:pPr>
        <w:spacing w:line="520" w:lineRule="exact"/>
        <w:ind w:firstLine="642" w:firstLineChars="200"/>
        <w:rPr>
          <w:rFonts w:ascii="仿宋_GB2312" w:hAnsi="仿宋_GB2312" w:eastAsia="仿宋_GB2312" w:cs="仿宋_GB2312"/>
          <w:b/>
          <w:sz w:val="32"/>
          <w:szCs w:val="32"/>
        </w:rPr>
      </w:pPr>
      <w:r>
        <w:rPr>
          <w:rStyle w:val="17"/>
          <w:rFonts w:hint="eastAsia" w:ascii="仿宋_GB2312" w:hAnsi="仿宋_GB2312" w:eastAsia="仿宋_GB2312" w:cs="仿宋_GB2312"/>
          <w:bCs/>
          <w:sz w:val="32"/>
          <w:szCs w:val="32"/>
          <w:lang w:val="en-US" w:eastAsia="zh-CN"/>
        </w:rPr>
        <w:t>5</w:t>
      </w:r>
      <w:r>
        <w:rPr>
          <w:rStyle w:val="17"/>
          <w:rFonts w:hint="eastAsia" w:ascii="仿宋_GB2312" w:hAnsi="仿宋_GB2312" w:eastAsia="仿宋_GB2312" w:cs="仿宋_GB2312"/>
          <w:bCs/>
          <w:sz w:val="32"/>
          <w:szCs w:val="32"/>
        </w:rPr>
        <w:t>.</w:t>
      </w:r>
      <w:r>
        <w:rPr>
          <w:rStyle w:val="17"/>
          <w:rFonts w:hint="eastAsia" w:ascii="仿宋_GB2312" w:hAnsi="仿宋_GB2312" w:eastAsia="仿宋_GB2312" w:cs="仿宋_GB2312"/>
          <w:bCs/>
          <w:color w:val="000000"/>
          <w:sz w:val="32"/>
          <w:szCs w:val="32"/>
        </w:rPr>
        <w:t>城乡社区（类）城乡社区规划与管理（款）城乡社区</w:t>
      </w:r>
      <w:r>
        <w:rPr>
          <w:rStyle w:val="17"/>
          <w:rFonts w:hint="eastAsia" w:ascii="仿宋_GB2312" w:hAnsi="仿宋_GB2312" w:eastAsia="仿宋_GB2312" w:cs="仿宋_GB2312"/>
          <w:bCs/>
          <w:sz w:val="32"/>
          <w:szCs w:val="32"/>
        </w:rPr>
        <w:t>规划与管理（项）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支出决算为</w:t>
      </w:r>
      <w:r>
        <w:rPr>
          <w:rStyle w:val="17"/>
          <w:rFonts w:hint="eastAsia" w:ascii="仿宋_GB2312" w:hAnsi="仿宋_GB2312" w:eastAsia="仿宋_GB2312" w:cs="仿宋_GB2312"/>
          <w:b w:val="0"/>
          <w:bCs/>
          <w:sz w:val="32"/>
          <w:szCs w:val="32"/>
          <w:lang w:val="en-US" w:eastAsia="zh-CN"/>
        </w:rPr>
        <w:t>234.11</w:t>
      </w:r>
      <w:r>
        <w:rPr>
          <w:rStyle w:val="17"/>
          <w:rFonts w:hint="eastAsia" w:ascii="仿宋_GB2312" w:hAnsi="仿宋_GB2312" w:eastAsia="仿宋_GB2312" w:cs="仿宋_GB2312"/>
          <w:b w:val="0"/>
          <w:bCs/>
          <w:sz w:val="32"/>
          <w:szCs w:val="32"/>
        </w:rPr>
        <w:t>万元，完成预算</w:t>
      </w:r>
      <w:r>
        <w:rPr>
          <w:rStyle w:val="17"/>
          <w:rFonts w:hint="eastAsia" w:ascii="仿宋_GB2312" w:hAnsi="仿宋_GB2312" w:eastAsia="仿宋_GB2312" w:cs="仿宋_GB2312"/>
          <w:b w:val="0"/>
          <w:bCs/>
          <w:sz w:val="32"/>
          <w:szCs w:val="32"/>
          <w:lang w:val="en-US" w:eastAsia="zh-CN"/>
        </w:rPr>
        <w:t>100</w:t>
      </w:r>
      <w:r>
        <w:rPr>
          <w:rStyle w:val="17"/>
          <w:rFonts w:hint="eastAsia" w:ascii="仿宋_GB2312" w:hAnsi="仿宋_GB2312" w:eastAsia="仿宋_GB2312" w:cs="仿宋_GB2312"/>
          <w:b w:val="0"/>
          <w:bCs/>
          <w:sz w:val="32"/>
          <w:szCs w:val="32"/>
        </w:rPr>
        <w:t>%。</w:t>
      </w:r>
    </w:p>
    <w:p>
      <w:pPr>
        <w:spacing w:line="520" w:lineRule="exact"/>
        <w:ind w:firstLine="642" w:firstLineChars="200"/>
        <w:rPr>
          <w:rFonts w:ascii="仿宋_GB2312" w:hAnsi="仿宋_GB2312" w:eastAsia="仿宋_GB2312" w:cs="仿宋_GB2312"/>
          <w:b/>
          <w:sz w:val="32"/>
          <w:szCs w:val="32"/>
        </w:rPr>
      </w:pPr>
      <w:r>
        <w:rPr>
          <w:rStyle w:val="17"/>
          <w:rFonts w:hint="eastAsia" w:ascii="仿宋_GB2312" w:hAnsi="仿宋_GB2312" w:eastAsia="仿宋_GB2312" w:cs="仿宋_GB2312"/>
          <w:bCs/>
          <w:sz w:val="32"/>
          <w:szCs w:val="32"/>
          <w:lang w:val="en-US" w:eastAsia="zh-CN"/>
        </w:rPr>
        <w:t>6</w:t>
      </w:r>
      <w:r>
        <w:rPr>
          <w:rStyle w:val="17"/>
          <w:rFonts w:hint="eastAsia" w:ascii="仿宋_GB2312" w:hAnsi="仿宋_GB2312" w:eastAsia="仿宋_GB2312" w:cs="仿宋_GB2312"/>
          <w:bCs/>
          <w:sz w:val="32"/>
          <w:szCs w:val="32"/>
        </w:rPr>
        <w:t>.</w:t>
      </w:r>
      <w:r>
        <w:rPr>
          <w:rStyle w:val="17"/>
          <w:rFonts w:hint="eastAsia" w:ascii="仿宋_GB2312" w:hAnsi="仿宋_GB2312" w:eastAsia="仿宋_GB2312" w:cs="仿宋_GB2312"/>
          <w:bCs/>
          <w:color w:val="000000"/>
          <w:sz w:val="32"/>
          <w:szCs w:val="32"/>
        </w:rPr>
        <w:t>住房保障（类）住房改革支出（款）住房公积金（项）</w:t>
      </w:r>
      <w:r>
        <w:rPr>
          <w:rStyle w:val="17"/>
          <w:rFonts w:hint="eastAsia" w:ascii="仿宋_GB2312" w:hAnsi="仿宋_GB2312" w:eastAsia="仿宋_GB2312" w:cs="仿宋_GB2312"/>
          <w:bCs/>
          <w:color w:val="000000"/>
          <w:sz w:val="32"/>
          <w:szCs w:val="32"/>
          <w:lang w:eastAsia="zh-CN"/>
        </w:rPr>
        <w:t>：</w:t>
      </w:r>
      <w:r>
        <w:rPr>
          <w:rStyle w:val="17"/>
          <w:rFonts w:hint="eastAsia" w:ascii="仿宋_GB2312" w:hAnsi="仿宋_GB2312" w:eastAsia="仿宋_GB2312" w:cs="仿宋_GB2312"/>
          <w:b w:val="0"/>
          <w:bCs/>
          <w:sz w:val="32"/>
          <w:szCs w:val="32"/>
        </w:rPr>
        <w:t>支出决算为</w:t>
      </w:r>
      <w:r>
        <w:rPr>
          <w:rStyle w:val="17"/>
          <w:rFonts w:hint="eastAsia" w:ascii="仿宋_GB2312" w:hAnsi="仿宋_GB2312" w:eastAsia="仿宋_GB2312" w:cs="仿宋_GB2312"/>
          <w:b w:val="0"/>
          <w:bCs/>
          <w:sz w:val="32"/>
          <w:szCs w:val="32"/>
          <w:lang w:val="en-US" w:eastAsia="zh-CN"/>
        </w:rPr>
        <w:t>22.46</w:t>
      </w:r>
      <w:r>
        <w:rPr>
          <w:rStyle w:val="17"/>
          <w:rFonts w:hint="eastAsia" w:ascii="仿宋_GB2312" w:hAnsi="仿宋_GB2312" w:eastAsia="仿宋_GB2312" w:cs="仿宋_GB2312"/>
          <w:b w:val="0"/>
          <w:bCs/>
          <w:sz w:val="32"/>
          <w:szCs w:val="32"/>
        </w:rPr>
        <w:t>万元，完成预算100%。</w:t>
      </w:r>
    </w:p>
    <w:p>
      <w:pPr>
        <w:keepNext w:val="0"/>
        <w:keepLines w:val="0"/>
        <w:pageBreakBefore w:val="0"/>
        <w:widowControl w:val="0"/>
        <w:kinsoku/>
        <w:wordWrap/>
        <w:overflowPunct/>
        <w:topLinePunct w:val="0"/>
        <w:autoSpaceDE/>
        <w:autoSpaceDN/>
        <w:bidi w:val="0"/>
        <w:adjustRightInd w:val="0"/>
        <w:snapToGrid w:val="0"/>
        <w:spacing w:line="576" w:lineRule="exact"/>
        <w:ind w:left="0" w:right="0" w:firstLine="640" w:firstLineChars="200"/>
        <w:jc w:val="both"/>
        <w:textAlignment w:val="auto"/>
        <w:outlineLvl w:val="1"/>
        <w:rPr>
          <w:rFonts w:hint="eastAsia" w:ascii="黑体" w:hAnsi="黑体" w:eastAsia="黑体" w:cs="黑体"/>
          <w:b w:val="0"/>
          <w:bCs w:val="0"/>
          <w:color w:val="auto"/>
          <w:sz w:val="32"/>
          <w:szCs w:val="32"/>
          <w:highlight w:val="none"/>
          <w:u w:val="none"/>
          <w:lang w:eastAsia="zh-CN"/>
        </w:rPr>
      </w:pPr>
      <w:bookmarkStart w:id="50" w:name="_Toc15792"/>
      <w:r>
        <w:rPr>
          <w:rFonts w:hint="eastAsia" w:ascii="黑体" w:hAnsi="黑体" w:eastAsia="黑体" w:cs="黑体"/>
          <w:b w:val="0"/>
          <w:bCs w:val="0"/>
          <w:color w:val="auto"/>
          <w:sz w:val="32"/>
          <w:szCs w:val="32"/>
          <w:highlight w:val="none"/>
          <w:u w:val="none"/>
          <w:lang w:eastAsia="zh-CN"/>
        </w:rPr>
        <w:t>六、一般公共预算财政拨款基本支出决算情况说明</w:t>
      </w:r>
      <w:bookmarkEnd w:id="47"/>
      <w:bookmarkEnd w:id="48"/>
      <w:bookmarkEnd w:id="49"/>
      <w:bookmarkEnd w:id="50"/>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hAnsi="仿宋_GB2312" w:eastAsia="仿宋_GB2312" w:cs="仿宋_GB2312"/>
          <w:color w:val="auto"/>
          <w:sz w:val="32"/>
          <w:szCs w:val="32"/>
        </w:rPr>
        <w:t>一般公共预算财政拨款基本支出</w:t>
      </w:r>
      <w:r>
        <w:rPr>
          <w:rFonts w:hint="eastAsia" w:ascii="仿宋_GB2312" w:hAnsi="仿宋_GB2312" w:eastAsia="仿宋_GB2312" w:cs="仿宋_GB2312"/>
          <w:color w:val="auto"/>
          <w:sz w:val="32"/>
          <w:szCs w:val="32"/>
          <w:lang w:val="en-US" w:eastAsia="zh-CN"/>
        </w:rPr>
        <w:t>296.81</w:t>
      </w:r>
      <w:r>
        <w:rPr>
          <w:rFonts w:hint="eastAsia" w:ascii="仿宋_GB2312" w:hAnsi="仿宋_GB2312" w:eastAsia="仿宋_GB2312" w:cs="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人员经费</w:t>
      </w:r>
      <w:r>
        <w:rPr>
          <w:rFonts w:hint="eastAsia" w:ascii="仿宋_GB2312" w:hAnsi="仿宋_GB2312" w:eastAsia="仿宋_GB2312" w:cs="仿宋_GB2312"/>
          <w:color w:val="auto"/>
          <w:sz w:val="32"/>
          <w:szCs w:val="32"/>
          <w:lang w:val="en-US" w:eastAsia="zh-CN"/>
        </w:rPr>
        <w:t>268.45</w:t>
      </w:r>
      <w:r>
        <w:rPr>
          <w:rFonts w:hint="eastAsia" w:ascii="仿宋_GB2312" w:hAnsi="仿宋_GB2312" w:eastAsia="仿宋_GB2312" w:cs="仿宋_GB2312"/>
          <w:color w:val="auto"/>
          <w:sz w:val="32"/>
          <w:szCs w:val="32"/>
        </w:rPr>
        <w:t>万元，主要包括：基本工资、津贴补贴、奖金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绩效工资、机关事业单位基本养老保险缴费、</w:t>
      </w:r>
      <w:r>
        <w:rPr>
          <w:rFonts w:hint="eastAsia" w:ascii="仿宋_GB2312" w:hAnsi="仿宋_GB2312" w:eastAsia="仿宋_GB2312" w:cs="仿宋_GB2312"/>
          <w:color w:val="auto"/>
          <w:sz w:val="32"/>
          <w:szCs w:val="32"/>
          <w:lang w:eastAsia="zh-CN"/>
        </w:rPr>
        <w:t>职业年金缴费、</w:t>
      </w:r>
      <w:r>
        <w:rPr>
          <w:rFonts w:hint="eastAsia" w:ascii="仿宋_GB2312" w:hAnsi="仿宋_GB2312" w:eastAsia="仿宋_GB2312" w:cs="仿宋_GB2312"/>
          <w:color w:val="auto"/>
          <w:sz w:val="32"/>
          <w:szCs w:val="32"/>
        </w:rPr>
        <w:t>职工基本医疗保险缴费、其他社会保障缴费、住房公积金</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生活补助</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eastAsia" w:ascii="黑体" w:hAnsi="黑体" w:eastAsia="黑体" w:cs="黑体"/>
          <w:b w:val="0"/>
          <w:bCs w:val="0"/>
          <w:color w:val="auto"/>
          <w:sz w:val="32"/>
          <w:szCs w:val="32"/>
          <w:highlight w:val="none"/>
          <w:u w:val="none"/>
          <w:lang w:eastAsia="zh-CN"/>
        </w:rPr>
      </w:pPr>
      <w:r>
        <w:rPr>
          <w:rFonts w:hint="eastAsia" w:ascii="仿宋_GB2312" w:hAnsi="仿宋_GB2312" w:eastAsia="仿宋_GB2312" w:cs="仿宋_GB2312"/>
          <w:color w:val="auto"/>
          <w:sz w:val="32"/>
          <w:szCs w:val="32"/>
        </w:rPr>
        <w:t>公用经费</w:t>
      </w:r>
      <w:r>
        <w:rPr>
          <w:rFonts w:hint="eastAsia" w:ascii="仿宋_GB2312" w:hAnsi="仿宋_GB2312" w:eastAsia="仿宋_GB2312" w:cs="仿宋_GB2312"/>
          <w:color w:val="auto"/>
          <w:sz w:val="32"/>
          <w:szCs w:val="32"/>
          <w:lang w:val="en-US" w:eastAsia="zh-CN"/>
        </w:rPr>
        <w:t>28.36</w:t>
      </w:r>
      <w:r>
        <w:rPr>
          <w:rFonts w:hint="eastAsia" w:ascii="仿宋_GB2312" w:hAnsi="仿宋_GB2312" w:eastAsia="仿宋_GB2312" w:cs="仿宋_GB2312"/>
          <w:color w:val="auto"/>
          <w:sz w:val="32"/>
          <w:szCs w:val="32"/>
        </w:rPr>
        <w:t>万元，主要包括：办公费、邮电费、差旅费、维修（护）费</w:t>
      </w:r>
      <w:r>
        <w:rPr>
          <w:rFonts w:hint="eastAsia" w:ascii="仿宋_GB2312" w:hAnsi="仿宋_GB2312" w:eastAsia="仿宋_GB2312" w:cs="仿宋_GB2312"/>
          <w:color w:val="auto"/>
          <w:sz w:val="32"/>
          <w:szCs w:val="32"/>
          <w:lang w:eastAsia="zh-CN"/>
        </w:rPr>
        <w:t>、培训费、</w:t>
      </w:r>
      <w:r>
        <w:rPr>
          <w:rFonts w:hint="eastAsia" w:ascii="仿宋_GB2312" w:hAnsi="仿宋_GB2312" w:eastAsia="仿宋_GB2312" w:cs="仿宋_GB2312"/>
          <w:color w:val="auto"/>
          <w:sz w:val="32"/>
          <w:szCs w:val="32"/>
        </w:rPr>
        <w:t>劳务费、工会经费、福利费、其他商品和服务支出。</w:t>
      </w:r>
      <w:bookmarkStart w:id="51" w:name="_Toc15377215"/>
      <w:bookmarkStart w:id="52" w:name="_Toc31105"/>
      <w:bookmarkStart w:id="53" w:name="_Toc15396609"/>
    </w:p>
    <w:p>
      <w:pPr>
        <w:pStyle w:val="4"/>
        <w:pageBreakBefore w:val="0"/>
        <w:widowControl w:val="0"/>
        <w:shd w:val="clear"/>
        <w:kinsoku/>
        <w:wordWrap/>
        <w:overflowPunct/>
        <w:topLinePunct w:val="0"/>
        <w:autoSpaceDE/>
        <w:autoSpaceDN/>
        <w:bidi w:val="0"/>
        <w:adjustRightInd/>
        <w:spacing w:before="0" w:after="0" w:line="576" w:lineRule="exact"/>
        <w:ind w:firstLine="640" w:firstLineChars="200"/>
        <w:textAlignment w:val="auto"/>
        <w:rPr>
          <w:rFonts w:hint="eastAsia" w:ascii="黑体" w:hAnsi="黑体" w:eastAsia="黑体" w:cs="黑体"/>
          <w:b w:val="0"/>
          <w:bCs w:val="0"/>
          <w:color w:val="auto"/>
          <w:sz w:val="32"/>
          <w:szCs w:val="32"/>
        </w:rPr>
      </w:pPr>
      <w:bookmarkStart w:id="54" w:name="_Toc28724"/>
      <w:r>
        <w:rPr>
          <w:rFonts w:hint="eastAsia" w:ascii="黑体" w:hAnsi="黑体" w:eastAsia="黑体" w:cs="黑体"/>
          <w:b w:val="0"/>
          <w:bCs w:val="0"/>
          <w:color w:val="auto"/>
          <w:sz w:val="32"/>
          <w:szCs w:val="32"/>
          <w:highlight w:val="none"/>
          <w:u w:val="none"/>
          <w:lang w:eastAsia="zh-CN"/>
        </w:rPr>
        <w:t>七、</w:t>
      </w:r>
      <w:bookmarkEnd w:id="51"/>
      <w:bookmarkEnd w:id="52"/>
      <w:bookmarkEnd w:id="53"/>
      <w:r>
        <w:rPr>
          <w:rStyle w:val="20"/>
          <w:rFonts w:hint="eastAsia" w:ascii="黑体" w:hAnsi="黑体" w:eastAsia="黑体"/>
          <w:b w:val="0"/>
          <w:bCs w:val="0"/>
          <w:color w:val="auto"/>
          <w:highlight w:val="none"/>
        </w:rPr>
        <w:t>财政拨款“三公”经费支出决算情况说明</w:t>
      </w:r>
      <w:bookmarkEnd w:id="54"/>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（一）“三公”经费财政拨款支出决算总体情况说明</w:t>
      </w:r>
    </w:p>
    <w:p>
      <w:pPr>
        <w:spacing w:line="600" w:lineRule="exact"/>
        <w:ind w:firstLine="640"/>
        <w:rPr>
          <w:rFonts w:hint="eastAsia"/>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Style w:val="17"/>
          <w:rFonts w:hint="eastAsia" w:ascii="仿宋_GB2312" w:hAnsi="仿宋_GB2312" w:eastAsia="仿宋_GB2312" w:cs="仿宋_GB2312"/>
          <w:b w:val="0"/>
          <w:bCs/>
          <w:color w:val="000000"/>
          <w:sz w:val="32"/>
          <w:szCs w:val="32"/>
        </w:rPr>
        <w:t>年初未安排预算</w:t>
      </w:r>
      <w:r>
        <w:rPr>
          <w:rStyle w:val="17"/>
          <w:rFonts w:hint="eastAsia" w:ascii="仿宋_GB2312" w:hAnsi="仿宋_GB2312" w:eastAsia="仿宋_GB2312" w:cs="仿宋_GB2312"/>
          <w:b w:val="0"/>
          <w:bCs/>
          <w:color w:val="000000"/>
          <w:sz w:val="32"/>
          <w:szCs w:val="32"/>
          <w:lang w:eastAsia="zh-CN"/>
        </w:rPr>
        <w:t>，较上年无变化。</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（二）“三公”经费财政拨款支出决算具体情况说明</w:t>
      </w:r>
    </w:p>
    <w:p>
      <w:pPr>
        <w:autoSpaceDE w:val="0"/>
        <w:autoSpaceDN w:val="0"/>
        <w:adjustRightInd w:val="0"/>
        <w:spacing w:line="600" w:lineRule="exact"/>
        <w:ind w:firstLine="640" w:firstLineChars="200"/>
        <w:jc w:val="left"/>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lang w:val="en-US" w:eastAsia="zh-CN"/>
        </w:rPr>
        <w:t>2024年度</w:t>
      </w:r>
      <w:r>
        <w:rPr>
          <w:rFonts w:hint="eastAsia" w:ascii="仿宋_GB2312" w:hAnsi="仿宋_GB2312" w:eastAsia="仿宋_GB2312" w:cs="仿宋_GB2312"/>
          <w:color w:val="auto"/>
          <w:sz w:val="32"/>
          <w:szCs w:val="32"/>
          <w:highlight w:val="none"/>
        </w:rPr>
        <w:t>“三公”经费财政拨款支出决算中，因公出国（境）费支出决算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万元；公务用车购置及运行维护费支出决算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万元；公务接待费支出决算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keepNext w:val="0"/>
        <w:keepLines w:val="0"/>
        <w:pageBreakBefore w:val="0"/>
        <w:widowControl w:val="0"/>
        <w:kinsoku/>
        <w:wordWrap/>
        <w:overflowPunct/>
        <w:topLinePunct w:val="0"/>
        <w:bidi w:val="0"/>
        <w:snapToGrid/>
        <w:spacing w:line="576" w:lineRule="exact"/>
        <w:ind w:left="0" w:leftChars="0" w:right="0" w:firstLine="642"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1.因公出国（境）经费支出0</w:t>
      </w:r>
      <w:r>
        <w:rPr>
          <w:rFonts w:hint="eastAsia" w:ascii="仿宋_GB2312" w:hAnsi="仿宋_GB2312" w:eastAsia="仿宋_GB2312" w:cs="仿宋_GB2312"/>
          <w:color w:val="auto"/>
          <w:sz w:val="32"/>
          <w:szCs w:val="32"/>
        </w:rPr>
        <w:t>万元，</w:t>
      </w:r>
      <w:r>
        <w:rPr>
          <w:rStyle w:val="17"/>
          <w:rFonts w:hint="eastAsia" w:ascii="仿宋_GB2312" w:hAnsi="仿宋_GB2312" w:eastAsia="仿宋_GB2312" w:cs="仿宋_GB2312"/>
          <w:b w:val="0"/>
          <w:bCs/>
          <w:color w:val="auto"/>
          <w:sz w:val="32"/>
          <w:szCs w:val="32"/>
        </w:rPr>
        <w:t>年初未安排预算</w:t>
      </w:r>
      <w:r>
        <w:rPr>
          <w:rStyle w:val="17"/>
          <w:rFonts w:hint="eastAsia" w:ascii="仿宋_GB2312" w:hAnsi="仿宋_GB2312" w:eastAsia="仿宋_GB2312" w:cs="仿宋_GB2312"/>
          <w:b w:val="0"/>
          <w:bCs/>
          <w:color w:val="auto"/>
          <w:sz w:val="32"/>
          <w:szCs w:val="32"/>
          <w:lang w:eastAsia="zh-CN"/>
        </w:rPr>
        <w:t>。</w:t>
      </w:r>
    </w:p>
    <w:p>
      <w:pPr>
        <w:keepNext w:val="0"/>
        <w:keepLines w:val="0"/>
        <w:pageBreakBefore w:val="0"/>
        <w:widowControl/>
        <w:suppressLineNumbers w:val="0"/>
        <w:kinsoku/>
        <w:wordWrap/>
        <w:overflowPunct/>
        <w:topLinePunct w:val="0"/>
        <w:bidi w:val="0"/>
        <w:snapToGrid/>
        <w:spacing w:before="0" w:beforeAutospacing="0" w:after="0" w:afterAutospacing="0" w:line="576" w:lineRule="exact"/>
        <w:ind w:left="0" w:leftChars="0" w:right="0" w:firstLine="642"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2.公务用车购置及运行维护费支出</w:t>
      </w:r>
      <w:r>
        <w:rPr>
          <w:rFonts w:hint="eastAsia" w:ascii="仿宋_GB2312" w:hAnsi="仿宋_GB2312" w:eastAsia="仿宋_GB2312" w:cs="仿宋_GB2312"/>
          <w:color w:val="auto"/>
          <w:sz w:val="32"/>
          <w:szCs w:val="32"/>
          <w:lang w:val="en-US" w:eastAsia="zh-CN"/>
        </w:rPr>
        <w:t xml:space="preserve"> 0</w:t>
      </w:r>
      <w:r>
        <w:rPr>
          <w:rFonts w:hint="eastAsia" w:ascii="仿宋_GB2312" w:hAnsi="仿宋_GB2312" w:eastAsia="仿宋_GB2312" w:cs="仿宋_GB2312"/>
          <w:color w:val="auto"/>
          <w:sz w:val="32"/>
          <w:szCs w:val="32"/>
        </w:rPr>
        <w:t>万元</w:t>
      </w:r>
      <w:r>
        <w:rPr>
          <w:rFonts w:hint="eastAsia" w:ascii="仿宋_GB2312" w:eastAsia="仿宋_GB2312" w:cs="仿宋_GB2312"/>
          <w:i w:val="0"/>
          <w:iCs w:val="0"/>
          <w:caps w:val="0"/>
          <w:color w:val="000000"/>
          <w:spacing w:val="0"/>
          <w:kern w:val="0"/>
          <w:sz w:val="32"/>
          <w:szCs w:val="32"/>
          <w:highlight w:val="none"/>
          <w:lang w:val="en-US" w:eastAsia="zh-CN" w:bidi="ar"/>
        </w:rPr>
        <w:t>。</w:t>
      </w:r>
      <w:r>
        <w:rPr>
          <w:rFonts w:hint="eastAsia" w:ascii="仿宋_GB2312" w:hAnsi="仿宋_GB2312" w:eastAsia="仿宋_GB2312" w:cs="仿宋_GB2312"/>
          <w:color w:val="auto"/>
          <w:sz w:val="32"/>
          <w:szCs w:val="32"/>
        </w:rPr>
        <w:t>年初未安排预算，较202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年度持平。其中：</w:t>
      </w:r>
    </w:p>
    <w:p>
      <w:pPr>
        <w:keepNext w:val="0"/>
        <w:keepLines w:val="0"/>
        <w:pageBreakBefore w:val="0"/>
        <w:widowControl/>
        <w:suppressLineNumbers w:val="0"/>
        <w:kinsoku/>
        <w:wordWrap/>
        <w:overflowPunct/>
        <w:topLinePunct w:val="0"/>
        <w:bidi w:val="0"/>
        <w:snapToGrid/>
        <w:spacing w:before="0" w:beforeAutospacing="0" w:after="0" w:afterAutospacing="0" w:line="576" w:lineRule="exact"/>
        <w:ind w:left="0" w:leftChars="0" w:right="0" w:firstLine="642"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公务用车购置支出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万元。全年按规定更新购置公务用车0辆。截至202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年12月底，单位共有公务用车</w:t>
      </w:r>
      <w:r>
        <w:rPr>
          <w:rFonts w:hint="eastAsia" w:ascii="仿宋_GB2312" w:hAnsi="仿宋_GB2312" w:eastAsia="仿宋_GB2312" w:cs="仿宋_GB2312"/>
          <w:color w:val="auto"/>
          <w:sz w:val="32"/>
          <w:szCs w:val="32"/>
          <w:lang w:val="en-US" w:eastAsia="zh-CN"/>
        </w:rPr>
        <w:t>0辆。</w:t>
      </w:r>
    </w:p>
    <w:p>
      <w:pPr>
        <w:keepNext w:val="0"/>
        <w:keepLines w:val="0"/>
        <w:pageBreakBefore w:val="0"/>
        <w:widowControl w:val="0"/>
        <w:kinsoku/>
        <w:wordWrap/>
        <w:overflowPunct/>
        <w:topLinePunct w:val="0"/>
        <w:bidi w:val="0"/>
        <w:snapToGrid/>
        <w:spacing w:line="576" w:lineRule="exact"/>
        <w:ind w:left="0" w:leftChars="0" w:right="0" w:firstLine="642"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公务用车运行维护费支出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rPr>
        <w:t>年初未安排预算</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bidi w:val="0"/>
        <w:snapToGrid/>
        <w:spacing w:line="576" w:lineRule="exact"/>
        <w:ind w:left="0" w:leftChars="0" w:right="0" w:firstLine="642"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color w:val="auto"/>
          <w:sz w:val="32"/>
          <w:szCs w:val="32"/>
        </w:rPr>
        <w:t>3.公务接待费支出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万元，年初未安排预算，较202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年度持平。</w:t>
      </w:r>
      <w:bookmarkStart w:id="55" w:name="_Toc15377218"/>
      <w:bookmarkStart w:id="56" w:name="_Toc15396610"/>
    </w:p>
    <w:p>
      <w:pPr>
        <w:keepNext w:val="0"/>
        <w:keepLines w:val="0"/>
        <w:pageBreakBefore w:val="0"/>
        <w:widowControl w:val="0"/>
        <w:kinsoku/>
        <w:wordWrap/>
        <w:overflowPunct/>
        <w:topLinePunct w:val="0"/>
        <w:autoSpaceDE/>
        <w:autoSpaceDN/>
        <w:bidi w:val="0"/>
        <w:adjustRightInd w:val="0"/>
        <w:snapToGrid w:val="0"/>
        <w:spacing w:line="576" w:lineRule="exact"/>
        <w:ind w:left="0" w:right="0" w:firstLine="640" w:firstLineChars="200"/>
        <w:jc w:val="both"/>
        <w:textAlignment w:val="auto"/>
        <w:outlineLvl w:val="1"/>
        <w:rPr>
          <w:rFonts w:hint="eastAsia" w:ascii="黑体" w:hAnsi="黑体" w:eastAsia="黑体" w:cs="黑体"/>
          <w:b w:val="0"/>
          <w:bCs w:val="0"/>
          <w:color w:val="auto"/>
          <w:sz w:val="32"/>
          <w:szCs w:val="32"/>
          <w:highlight w:val="none"/>
          <w:u w:val="none"/>
          <w:lang w:eastAsia="zh-CN"/>
        </w:rPr>
      </w:pPr>
      <w:bookmarkStart w:id="57" w:name="_Toc9787"/>
      <w:bookmarkStart w:id="58" w:name="_Toc26637"/>
      <w:r>
        <w:rPr>
          <w:rFonts w:hint="eastAsia" w:ascii="黑体" w:hAnsi="黑体" w:eastAsia="黑体" w:cs="黑体"/>
          <w:b w:val="0"/>
          <w:bCs w:val="0"/>
          <w:color w:val="auto"/>
          <w:sz w:val="32"/>
          <w:szCs w:val="32"/>
          <w:highlight w:val="none"/>
          <w:u w:val="none"/>
          <w:lang w:eastAsia="zh-CN"/>
        </w:rPr>
        <w:t>八、政府性基金预算支出决算情况说明</w:t>
      </w:r>
      <w:bookmarkEnd w:id="55"/>
      <w:bookmarkEnd w:id="56"/>
      <w:bookmarkEnd w:id="57"/>
      <w:bookmarkEnd w:id="58"/>
    </w:p>
    <w:p>
      <w:pPr>
        <w:keepNext w:val="0"/>
        <w:keepLines w:val="0"/>
        <w:pageBreakBefore w:val="0"/>
        <w:widowControl w:val="0"/>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hAnsi="仿宋_GB2312" w:eastAsia="仿宋_GB2312" w:cs="仿宋_GB2312"/>
          <w:color w:val="auto"/>
          <w:sz w:val="32"/>
          <w:szCs w:val="32"/>
        </w:rPr>
        <w:t>政府性基金预算财政拨款支出0万元。</w:t>
      </w:r>
    </w:p>
    <w:p>
      <w:pPr>
        <w:keepNext w:val="0"/>
        <w:keepLines w:val="0"/>
        <w:pageBreakBefore w:val="0"/>
        <w:widowControl w:val="0"/>
        <w:kinsoku/>
        <w:wordWrap/>
        <w:overflowPunct/>
        <w:topLinePunct w:val="0"/>
        <w:autoSpaceDE/>
        <w:autoSpaceDN/>
        <w:bidi w:val="0"/>
        <w:adjustRightInd w:val="0"/>
        <w:snapToGrid w:val="0"/>
        <w:spacing w:line="576" w:lineRule="exact"/>
        <w:ind w:left="0" w:right="0" w:firstLine="640" w:firstLineChars="200"/>
        <w:jc w:val="both"/>
        <w:textAlignment w:val="auto"/>
        <w:outlineLvl w:val="1"/>
        <w:rPr>
          <w:rFonts w:hint="eastAsia" w:ascii="黑体" w:hAnsi="黑体" w:eastAsia="黑体" w:cs="黑体"/>
          <w:b w:val="0"/>
          <w:bCs w:val="0"/>
          <w:color w:val="auto"/>
          <w:sz w:val="32"/>
          <w:szCs w:val="32"/>
          <w:highlight w:val="none"/>
          <w:u w:val="none"/>
          <w:lang w:eastAsia="zh-CN"/>
        </w:rPr>
      </w:pPr>
      <w:bookmarkStart w:id="59" w:name="_Toc14109"/>
      <w:bookmarkStart w:id="60" w:name="_Toc15396611"/>
      <w:bookmarkStart w:id="61" w:name="_Toc15377219"/>
      <w:bookmarkStart w:id="62" w:name="_Toc7802"/>
      <w:r>
        <w:rPr>
          <w:rFonts w:hint="eastAsia" w:ascii="黑体" w:hAnsi="黑体" w:eastAsia="黑体" w:cs="黑体"/>
          <w:b w:val="0"/>
          <w:bCs w:val="0"/>
          <w:color w:val="auto"/>
          <w:sz w:val="32"/>
          <w:szCs w:val="32"/>
          <w:highlight w:val="none"/>
          <w:u w:val="none"/>
          <w:lang w:eastAsia="zh-CN"/>
        </w:rPr>
        <w:t>九、国有资本经营预算支出决算情况说明</w:t>
      </w:r>
      <w:bookmarkEnd w:id="59"/>
      <w:bookmarkEnd w:id="60"/>
      <w:bookmarkEnd w:id="61"/>
      <w:bookmarkEnd w:id="62"/>
    </w:p>
    <w:p>
      <w:pPr>
        <w:keepNext w:val="0"/>
        <w:keepLines w:val="0"/>
        <w:pageBreakBefore w:val="0"/>
        <w:widowControl w:val="0"/>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hAnsi="仿宋_GB2312" w:eastAsia="仿宋_GB2312" w:cs="仿宋_GB2312"/>
          <w:color w:val="auto"/>
          <w:sz w:val="32"/>
          <w:szCs w:val="32"/>
        </w:rPr>
        <w:t>国有资本经营预算财政拨款支出0万元。</w:t>
      </w:r>
    </w:p>
    <w:p>
      <w:pPr>
        <w:keepNext w:val="0"/>
        <w:keepLines w:val="0"/>
        <w:pageBreakBefore w:val="0"/>
        <w:widowControl w:val="0"/>
        <w:kinsoku/>
        <w:wordWrap/>
        <w:overflowPunct/>
        <w:topLinePunct w:val="0"/>
        <w:autoSpaceDE/>
        <w:autoSpaceDN/>
        <w:bidi w:val="0"/>
        <w:adjustRightInd w:val="0"/>
        <w:snapToGrid w:val="0"/>
        <w:spacing w:line="576" w:lineRule="exact"/>
        <w:ind w:left="0" w:right="0" w:firstLine="640" w:firstLineChars="200"/>
        <w:jc w:val="both"/>
        <w:textAlignment w:val="auto"/>
        <w:outlineLvl w:val="1"/>
        <w:rPr>
          <w:rFonts w:hint="eastAsia" w:ascii="黑体" w:hAnsi="黑体" w:eastAsia="黑体" w:cs="黑体"/>
          <w:b w:val="0"/>
          <w:bCs w:val="0"/>
          <w:color w:val="auto"/>
          <w:sz w:val="32"/>
          <w:szCs w:val="32"/>
          <w:highlight w:val="none"/>
          <w:u w:val="none"/>
        </w:rPr>
      </w:pPr>
      <w:bookmarkStart w:id="63" w:name="_Toc25840"/>
      <w:bookmarkStart w:id="64" w:name="_Toc22661"/>
      <w:bookmarkStart w:id="65" w:name="_Toc15396612"/>
      <w:bookmarkStart w:id="66" w:name="_Toc18931"/>
      <w:bookmarkStart w:id="67" w:name="_Toc15377221"/>
      <w:r>
        <w:rPr>
          <w:rFonts w:hint="eastAsia" w:ascii="黑体" w:hAnsi="黑体" w:eastAsia="黑体" w:cs="黑体"/>
          <w:b w:val="0"/>
          <w:bCs w:val="0"/>
          <w:color w:val="auto"/>
          <w:sz w:val="32"/>
          <w:szCs w:val="32"/>
          <w:highlight w:val="none"/>
          <w:u w:val="none"/>
          <w:lang w:eastAsia="zh-CN"/>
        </w:rPr>
        <w:t>十、</w:t>
      </w:r>
      <w:r>
        <w:rPr>
          <w:rFonts w:hint="eastAsia" w:ascii="黑体" w:hAnsi="黑体" w:eastAsia="黑体" w:cs="黑体"/>
          <w:b w:val="0"/>
          <w:bCs w:val="0"/>
          <w:color w:val="auto"/>
          <w:sz w:val="32"/>
          <w:szCs w:val="32"/>
          <w:highlight w:val="none"/>
          <w:u w:val="none"/>
        </w:rPr>
        <w:t>其他重要事项的情况说明</w:t>
      </w:r>
      <w:bookmarkEnd w:id="63"/>
      <w:bookmarkEnd w:id="64"/>
      <w:bookmarkEnd w:id="65"/>
      <w:bookmarkEnd w:id="66"/>
      <w:bookmarkEnd w:id="67"/>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（一）机关运行经费支出情况</w:t>
      </w:r>
    </w:p>
    <w:p>
      <w:pPr>
        <w:keepNext w:val="0"/>
        <w:keepLines w:val="0"/>
        <w:pageBreakBefore w:val="0"/>
        <w:widowControl w:val="0"/>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本单位为事业单位，</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hAnsi="仿宋_GB2312" w:eastAsia="仿宋_GB2312" w:cs="仿宋_GB2312"/>
          <w:color w:val="auto"/>
          <w:sz w:val="32"/>
          <w:szCs w:val="32"/>
        </w:rPr>
        <w:t>未发生机关运行经费，与202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决算数持平</w:t>
      </w:r>
      <w:r>
        <w:rPr>
          <w:rFonts w:hint="eastAsia" w:ascii="仿宋_GB2312" w:hAnsi="仿宋_GB2312" w:eastAsia="仿宋_GB2312" w:cs="仿宋_GB2312"/>
          <w:color w:val="auto"/>
          <w:sz w:val="32"/>
          <w:szCs w:val="32"/>
        </w:rPr>
        <w:t>。</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（二）政府采购支出情况</w:t>
      </w:r>
    </w:p>
    <w:p>
      <w:pPr>
        <w:spacing w:line="600" w:lineRule="exact"/>
        <w:ind w:firstLine="640" w:firstLineChars="200"/>
        <w:rPr>
          <w:rFonts w:ascii="仿宋_GB2312" w:eastAsia="仿宋_GB2312"/>
          <w:color w:val="auto"/>
          <w:sz w:val="32"/>
          <w:szCs w:val="32"/>
          <w:highlight w:val="none"/>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bookmarkStart w:id="113" w:name="_GoBack"/>
      <w:bookmarkEnd w:id="113"/>
      <w:r>
        <w:rPr>
          <w:rFonts w:hint="eastAsia" w:ascii="仿宋_GB2312" w:eastAsia="仿宋_GB2312"/>
          <w:color w:val="auto"/>
          <w:sz w:val="32"/>
          <w:szCs w:val="32"/>
          <w:highlight w:val="none"/>
        </w:rPr>
        <w:t>。</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（三）国有资产占有使用情况</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年12月31日，共有车辆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eastAsia="仿宋_GB2312"/>
          <w:sz w:val="32"/>
          <w:szCs w:val="32"/>
        </w:rPr>
        <w:t>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万元以上专用设备0台（套）</w:t>
      </w:r>
      <w:r>
        <w:rPr>
          <w:rFonts w:hint="eastAsia" w:ascii="仿宋_GB2312" w:hAnsi="仿宋_GB2312" w:eastAsia="仿宋_GB2312" w:cs="仿宋_GB2312"/>
          <w:color w:val="auto"/>
          <w:sz w:val="32"/>
          <w:szCs w:val="32"/>
        </w:rPr>
        <w:t>。</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rPr>
        <w:t>（四）预算绩效管理情况</w:t>
      </w:r>
    </w:p>
    <w:p>
      <w:pPr>
        <w:pageBreakBefore w:val="0"/>
        <w:widowControl w:val="0"/>
        <w:kinsoku/>
        <w:wordWrap/>
        <w:overflowPunct/>
        <w:topLinePunct w:val="0"/>
        <w:bidi w:val="0"/>
        <w:spacing w:line="576" w:lineRule="exact"/>
        <w:ind w:left="0" w:right="0" w:firstLine="640" w:firstLineChars="200"/>
        <w:jc w:val="both"/>
        <w:textAlignment w:val="auto"/>
        <w:rPr>
          <w:rFonts w:hint="eastAsia" w:ascii="仿宋_GB2312" w:hAnsi="仿宋_GB2312" w:eastAsia="仿宋_GB2312" w:cs="仿宋_GB2312"/>
          <w:b/>
          <w:color w:val="auto"/>
          <w:sz w:val="32"/>
          <w:szCs w:val="32"/>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w:t>
      </w:r>
      <w:r>
        <w:rPr>
          <w:rFonts w:hint="eastAsia" w:ascii="仿宋_GB2312" w:eastAsia="仿宋_GB2312" w:cs="Times New Roman"/>
          <w:color w:val="auto"/>
          <w:sz w:val="32"/>
          <w:szCs w:val="32"/>
          <w:highlight w:val="none"/>
          <w:lang w:val="en-US" w:eastAsia="zh-CN"/>
        </w:rPr>
        <w:t>4</w:t>
      </w:r>
      <w:r>
        <w:rPr>
          <w:rFonts w:hint="eastAsia" w:ascii="仿宋_GB2312" w:hAnsi="Times New Roman" w:eastAsia="仿宋_GB2312" w:cs="Times New Roman"/>
          <w:color w:val="auto"/>
          <w:sz w:val="32"/>
          <w:szCs w:val="32"/>
          <w:highlight w:val="none"/>
          <w:lang w:val="en-US" w:eastAsia="zh-CN"/>
        </w:rPr>
        <w:t>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仿宋_GB2312" w:eastAsia="仿宋_GB2312" w:cs="Times New Roman"/>
          <w:color w:val="auto"/>
          <w:sz w:val="32"/>
          <w:szCs w:val="32"/>
          <w:highlight w:val="none"/>
          <w:lang w:eastAsia="zh-CN"/>
        </w:rPr>
        <w:t>工业项目方案技术审查工作经费</w:t>
      </w:r>
      <w:r>
        <w:rPr>
          <w:rFonts w:hint="eastAsia" w:ascii="仿宋_GB2312" w:hAnsi="Times New Roman" w:eastAsia="仿宋_GB2312" w:cs="Times New Roman"/>
          <w:color w:val="auto"/>
          <w:sz w:val="32"/>
          <w:szCs w:val="32"/>
          <w:highlight w:val="none"/>
          <w:lang w:eastAsia="zh-CN"/>
        </w:rPr>
        <w:t>等</w:t>
      </w:r>
      <w:r>
        <w:rPr>
          <w:rFonts w:hint="eastAsia" w:ascii="仿宋_GB2312" w:hAnsi="Times New Roman" w:eastAsia="仿宋_GB2312" w:cs="Times New Roman"/>
          <w:color w:val="auto"/>
          <w:sz w:val="32"/>
          <w:szCs w:val="32"/>
          <w:highlight w:val="none"/>
          <w:lang w:val="en-US" w:eastAsia="zh-CN"/>
        </w:rPr>
        <w:t>13个项目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hAnsi="Times New Roman" w:eastAsia="仿宋_GB2312" w:cs="Times New Roman"/>
          <w:color w:val="auto"/>
          <w:sz w:val="32"/>
          <w:szCs w:val="32"/>
          <w:highlight w:val="none"/>
          <w:lang w:val="en-US" w:eastAsia="zh-CN"/>
        </w:rPr>
        <w:t>1</w:t>
      </w:r>
      <w:r>
        <w:rPr>
          <w:rFonts w:hint="eastAsia" w:ascii="仿宋_GB2312"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1</w:t>
      </w:r>
      <w:r>
        <w:rPr>
          <w:rFonts w:hint="eastAsia" w:ascii="仿宋_GB2312"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1</w:t>
      </w:r>
      <w:r>
        <w:rPr>
          <w:rFonts w:hint="eastAsia" w:ascii="仿宋_GB2312"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个项目开展绩效自评，绩效自评表详见第四部分附件。</w:t>
      </w:r>
      <w:r>
        <w:rPr>
          <w:rFonts w:hint="eastAsia" w:ascii="仿宋_GB2312" w:hAnsi="仿宋_GB2312" w:eastAsia="仿宋_GB2312" w:cs="仿宋_GB2312"/>
          <w:b/>
          <w:color w:val="auto"/>
          <w:sz w:val="32"/>
          <w:szCs w:val="32"/>
        </w:rPr>
        <w:br w:type="page"/>
      </w:r>
    </w:p>
    <w:p>
      <w:pPr>
        <w:pStyle w:val="3"/>
        <w:keepNext/>
        <w:keepLines/>
        <w:pageBreakBefore w:val="0"/>
        <w:widowControl w:val="0"/>
        <w:kinsoku/>
        <w:wordWrap/>
        <w:overflowPunct/>
        <w:topLinePunct w:val="0"/>
        <w:autoSpaceDE/>
        <w:autoSpaceDN/>
        <w:bidi w:val="0"/>
        <w:adjustRightInd/>
        <w:snapToGrid/>
        <w:spacing w:before="0" w:after="0" w:line="576" w:lineRule="exact"/>
        <w:ind w:left="0" w:leftChars="0" w:firstLine="0" w:firstLineChars="0"/>
        <w:jc w:val="center"/>
        <w:textAlignment w:val="auto"/>
        <w:rPr>
          <w:rFonts w:hint="eastAsia" w:ascii="方正小标宋_GBK" w:hAnsi="方正小标宋_GBK" w:eastAsia="方正小标宋_GBK" w:cs="方正小标宋_GBK"/>
          <w:b w:val="0"/>
          <w:color w:val="auto"/>
          <w:highlight w:val="none"/>
        </w:rPr>
      </w:pPr>
      <w:bookmarkStart w:id="68" w:name="_Toc15396613"/>
      <w:bookmarkStart w:id="69" w:name="_Toc29016"/>
      <w:bookmarkStart w:id="70" w:name="_Toc15377225"/>
      <w:bookmarkStart w:id="71" w:name="_Toc7293"/>
      <w:r>
        <w:rPr>
          <w:rFonts w:hint="eastAsia" w:ascii="方正小标宋_GBK" w:hAnsi="方正小标宋_GBK" w:eastAsia="方正小标宋_GBK" w:cs="方正小标宋_GBK"/>
          <w:b w:val="0"/>
          <w:color w:val="auto"/>
          <w:highlight w:val="none"/>
          <w:lang w:eastAsia="zh-CN"/>
        </w:rPr>
        <w:t>第三部分</w:t>
      </w:r>
      <w:r>
        <w:rPr>
          <w:rFonts w:hint="eastAsia" w:ascii="方正小标宋_GBK" w:hAnsi="方正小标宋_GBK" w:eastAsia="方正小标宋_GBK" w:cs="方正小标宋_GBK"/>
          <w:b w:val="0"/>
          <w:color w:val="auto"/>
          <w:highlight w:val="none"/>
          <w:lang w:val="en-US" w:eastAsia="zh-CN"/>
        </w:rPr>
        <w:t xml:space="preserve">  </w:t>
      </w:r>
      <w:r>
        <w:rPr>
          <w:rFonts w:hint="eastAsia" w:ascii="方正小标宋_GBK" w:hAnsi="方正小标宋_GBK" w:eastAsia="方正小标宋_GBK" w:cs="方正小标宋_GBK"/>
          <w:b w:val="0"/>
          <w:color w:val="auto"/>
          <w:highlight w:val="none"/>
        </w:rPr>
        <w:t>名词解释</w:t>
      </w:r>
      <w:bookmarkEnd w:id="68"/>
      <w:bookmarkEnd w:id="69"/>
      <w:bookmarkEnd w:id="70"/>
      <w:bookmarkEnd w:id="71"/>
    </w:p>
    <w:p>
      <w:pPr>
        <w:pageBreakBefore w:val="0"/>
        <w:widowControl w:val="0"/>
        <w:kinsoku/>
        <w:wordWrap/>
        <w:overflowPunct/>
        <w:topLinePunct w:val="0"/>
        <w:bidi w:val="0"/>
        <w:spacing w:line="576" w:lineRule="exact"/>
        <w:ind w:left="0" w:right="0" w:firstLine="0" w:firstLineChars="0"/>
        <w:jc w:val="both"/>
        <w:textAlignment w:val="auto"/>
        <w:rPr>
          <w:rFonts w:hint="eastAsia" w:ascii="仿宋_GB2312" w:hAnsi="仿宋_GB2312" w:eastAsia="仿宋_GB2312" w:cs="仿宋_GB2312"/>
          <w:b/>
          <w:color w:val="auto"/>
          <w:sz w:val="32"/>
          <w:szCs w:val="32"/>
        </w:rPr>
      </w:pPr>
    </w:p>
    <w:p>
      <w:pPr>
        <w:pStyle w:val="22"/>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jc w:val="both"/>
        <w:textAlignment w:val="auto"/>
        <w:outlineLvl w:val="1"/>
        <w:rPr>
          <w:rFonts w:hint="eastAsia" w:ascii="仿宋_GB2312" w:hAnsi="仿宋_GB2312" w:eastAsia="仿宋_GB2312" w:cs="仿宋_GB2312"/>
          <w:color w:val="auto"/>
          <w:kern w:val="2"/>
          <w:sz w:val="32"/>
          <w:szCs w:val="32"/>
          <w:lang w:val="en-US" w:eastAsia="zh-CN" w:bidi="ar-SA"/>
        </w:rPr>
      </w:pPr>
      <w:bookmarkStart w:id="72" w:name="_Toc5139"/>
      <w:bookmarkStart w:id="73" w:name="_Toc1071"/>
      <w:bookmarkStart w:id="74" w:name="_Toc15377226"/>
      <w:r>
        <w:rPr>
          <w:rFonts w:hint="eastAsia" w:ascii="仿宋_GB2312" w:hAnsi="仿宋_GB2312" w:eastAsia="仿宋_GB2312" w:cs="仿宋_GB2312"/>
          <w:color w:val="auto"/>
          <w:kern w:val="2"/>
          <w:sz w:val="32"/>
          <w:szCs w:val="32"/>
          <w:lang w:val="en-US" w:eastAsia="zh-CN" w:bidi="ar-SA"/>
        </w:rPr>
        <w:t>1．财政拨款收入：指单位从同级财政部门取得的财政预算资金。</w:t>
      </w:r>
      <w:bookmarkEnd w:id="72"/>
      <w:bookmarkEnd w:id="73"/>
    </w:p>
    <w:p>
      <w:pPr>
        <w:pStyle w:val="22"/>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2．其他收入：指单位取得的除上述收入以外的各项收入，主要用于核算银行存款收入。</w:t>
      </w:r>
    </w:p>
    <w:p>
      <w:pPr>
        <w:pStyle w:val="22"/>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3．年初结转和结余：指以前年度尚未完成、结转到本年按有关规定继续使用的资金。</w:t>
      </w:r>
    </w:p>
    <w:p>
      <w:pPr>
        <w:pStyle w:val="22"/>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4．年末结转和结余：指单位按有关规定结转到下年或以后年度继续使用的资金。</w:t>
      </w:r>
    </w:p>
    <w:p>
      <w:pPr>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5．社会保障和就业支出（类）行政事业单位养老支出（款）机关事业单位基本养老保险缴费支出（项）：指反映机关事业单位实施养老保险制度由单位缴纳的基本养老保险支出。</w:t>
      </w:r>
    </w:p>
    <w:p>
      <w:pPr>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6．社会保障和就业支出（类）行政事业单位养老支出（款）机关事业单位职业年金缴费支出（项）：指反映机关事业单位实施养老保险制度由单位缴纳的职业年金支出。</w:t>
      </w:r>
    </w:p>
    <w:p>
      <w:pPr>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7．社会保障和就业支出（类）其他社会和保障就业支出（款）其他社会和保障就业支出（项）</w:t>
      </w:r>
      <w:r>
        <w:rPr>
          <w:rFonts w:hint="eastAsia" w:ascii="仿宋_GB2312" w:hAnsi="仿宋_GB2312" w:eastAsia="仿宋_GB2312" w:cs="仿宋_GB2312"/>
          <w:color w:val="auto"/>
          <w:kern w:val="2"/>
          <w:sz w:val="32"/>
          <w:szCs w:val="32"/>
          <w:lang w:val="en" w:eastAsia="zh-CN" w:bidi="ar-SA"/>
        </w:rPr>
        <w:t>:</w:t>
      </w:r>
      <w:r>
        <w:rPr>
          <w:rFonts w:hint="eastAsia" w:ascii="仿宋_GB2312" w:hAnsi="仿宋_GB2312" w:eastAsia="仿宋_GB2312" w:cs="仿宋_GB2312"/>
          <w:color w:val="auto"/>
          <w:kern w:val="2"/>
          <w:sz w:val="32"/>
          <w:szCs w:val="32"/>
          <w:lang w:val="en-US" w:eastAsia="zh-CN" w:bidi="ar-SA"/>
        </w:rPr>
        <w:t>指反映机关事业单位实施保险制度由单位缴纳的其他社会和保障就业支出。</w:t>
      </w:r>
    </w:p>
    <w:p>
      <w:pPr>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卫生健康支出（类）行政事业单位医疗（款）事业单位医疗（项）：指反映财政部门集中安排的事业单位基本医疗保险缴费经费，未参加医疗保险的事业单位的公费医疗经费，按国家规定享受离休人员待遇的医疗经费。</w:t>
      </w:r>
    </w:p>
    <w:p>
      <w:pPr>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9．城乡社区（类）城乡社区规划与管理（款）城乡社区规划与管理（项）：指反映城乡社区、名胜风景区、防灾减灾、历史名城规划制定与管理方面的支出。</w:t>
      </w:r>
    </w:p>
    <w:p>
      <w:pPr>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10．住房保障（类）住房改革支出（款）住房公积金（项）：指反映行政事业单位按人力资源和社会保障部、财政部规定的基本工资和津贴补贴以及规定比例为职工缴纳住房公积金。</w:t>
      </w:r>
    </w:p>
    <w:p>
      <w:pPr>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11．基本支出：指为保障机构正常运转、完成日常工作任务而发生的人员支出和公用支出。</w:t>
      </w:r>
    </w:p>
    <w:p>
      <w:pPr>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12．项目支出：指在基本支出之外为完成特定行政任务和事业发展目标所发生的支出。</w:t>
      </w:r>
    </w:p>
    <w:p>
      <w:pPr>
        <w:pStyle w:val="22"/>
        <w:keepNext w:val="0"/>
        <w:keepLines w:val="0"/>
        <w:pageBreakBefore w:val="0"/>
        <w:widowControl w:val="0"/>
        <w:numPr>
          <w:ilvl w:val="0"/>
          <w:numId w:val="0"/>
        </w:numPr>
        <w:kinsoku/>
        <w:wordWrap/>
        <w:overflowPunct/>
        <w:topLinePunct w:val="0"/>
        <w:bidi w:val="0"/>
        <w:snapToGrid/>
        <w:spacing w:line="576" w:lineRule="exact"/>
        <w:ind w:left="0" w:leftChars="0" w:firstLine="400" w:firstLineChars="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13．“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keepNext w:val="0"/>
        <w:keepLines w:val="0"/>
        <w:pageBreakBefore w:val="0"/>
        <w:widowControl w:val="0"/>
        <w:numPr>
          <w:ilvl w:val="0"/>
          <w:numId w:val="0"/>
        </w:numPr>
        <w:kinsoku/>
        <w:wordWrap/>
        <w:overflowPunct/>
        <w:topLinePunct w:val="0"/>
        <w:bidi w:val="0"/>
        <w:snapToGrid/>
        <w:spacing w:line="560" w:lineRule="exact"/>
        <w:ind w:left="403" w:leftChars="0" w:right="0" w:rightChars="0"/>
        <w:jc w:val="both"/>
        <w:textAlignment w:val="auto"/>
        <w:rPr>
          <w:rFonts w:hint="eastAsia" w:ascii="仿宋_GB2312" w:hAnsi="仿宋_GB2312" w:eastAsia="仿宋_GB2312" w:cs="仿宋_GB2312"/>
          <w:b w:val="0"/>
          <w:bCs w:val="0"/>
          <w:color w:val="auto"/>
          <w:sz w:val="32"/>
          <w:szCs w:val="32"/>
        </w:rPr>
      </w:pPr>
    </w:p>
    <w:p>
      <w:pPr>
        <w:pStyle w:val="3"/>
        <w:keepNext/>
        <w:keepLines/>
        <w:pageBreakBefore w:val="0"/>
        <w:widowControl w:val="0"/>
        <w:kinsoku/>
        <w:wordWrap/>
        <w:overflowPunct/>
        <w:topLinePunct w:val="0"/>
        <w:autoSpaceDE/>
        <w:autoSpaceDN/>
        <w:bidi w:val="0"/>
        <w:adjustRightInd/>
        <w:snapToGrid/>
        <w:spacing w:before="0" w:after="0" w:line="576" w:lineRule="exact"/>
        <w:ind w:left="0" w:leftChars="0" w:firstLine="0" w:firstLineChars="0"/>
        <w:jc w:val="center"/>
        <w:textAlignment w:val="auto"/>
        <w:rPr>
          <w:rFonts w:hint="eastAsia" w:ascii="方正小标宋_GBK" w:hAnsi="方正小标宋_GBK" w:eastAsia="方正小标宋_GBK" w:cs="方正小标宋_GBK"/>
          <w:b w:val="0"/>
          <w:bCs/>
          <w:color w:val="auto"/>
          <w:kern w:val="44"/>
          <w:sz w:val="44"/>
          <w:szCs w:val="44"/>
          <w:highlight w:val="none"/>
          <w:lang w:val="en-US" w:eastAsia="zh-CN" w:bidi="ar-SA"/>
        </w:rPr>
      </w:pPr>
      <w:r>
        <w:rPr>
          <w:rFonts w:hint="eastAsia" w:ascii="仿宋_GB2312" w:hAnsi="仿宋_GB2312" w:eastAsia="仿宋_GB2312" w:cs="仿宋_GB2312"/>
          <w:b w:val="0"/>
          <w:bCs w:val="0"/>
          <w:color w:val="auto"/>
          <w:sz w:val="32"/>
          <w:szCs w:val="32"/>
        </w:rPr>
        <w:br w:type="page"/>
      </w:r>
      <w:bookmarkStart w:id="75" w:name="_Toc30312"/>
      <w:bookmarkStart w:id="76" w:name="_Toc25230"/>
      <w:bookmarkStart w:id="77" w:name="_Toc15396614"/>
      <w:r>
        <w:rPr>
          <w:rFonts w:hint="eastAsia" w:ascii="方正小标宋_GBK" w:hAnsi="方正小标宋_GBK" w:eastAsia="方正小标宋_GBK" w:cs="方正小标宋_GBK"/>
          <w:b w:val="0"/>
          <w:bCs/>
          <w:color w:val="auto"/>
          <w:kern w:val="44"/>
          <w:sz w:val="44"/>
          <w:szCs w:val="44"/>
          <w:highlight w:val="none"/>
          <w:lang w:val="en-US" w:eastAsia="zh-CN" w:bidi="ar-SA"/>
        </w:rPr>
        <w:t>第四</w:t>
      </w:r>
      <w:r>
        <w:rPr>
          <w:rFonts w:hint="eastAsia" w:ascii="方正小标宋_GBK" w:hAnsi="方正小标宋_GBK" w:eastAsia="方正小标宋_GBK" w:cs="方正小标宋_GBK"/>
          <w:b w:val="0"/>
          <w:color w:val="auto"/>
          <w:highlight w:val="none"/>
          <w:lang w:val="en-US" w:eastAsia="zh-CN"/>
        </w:rPr>
        <w:t xml:space="preserve">部分  </w:t>
      </w:r>
      <w:r>
        <w:rPr>
          <w:rFonts w:hint="eastAsia" w:ascii="方正小标宋_GBK" w:hAnsi="方正小标宋_GBK" w:eastAsia="方正小标宋_GBK" w:cs="方正小标宋_GBK"/>
          <w:b w:val="0"/>
          <w:bCs/>
          <w:color w:val="auto"/>
          <w:kern w:val="44"/>
          <w:sz w:val="44"/>
          <w:szCs w:val="44"/>
          <w:highlight w:val="none"/>
          <w:lang w:val="en-US" w:eastAsia="zh-CN" w:bidi="ar-SA"/>
        </w:rPr>
        <w:t>附件</w:t>
      </w:r>
      <w:bookmarkEnd w:id="75"/>
      <w:bookmarkEnd w:id="76"/>
      <w:bookmarkEnd w:id="77"/>
    </w:p>
    <w:p>
      <w:pPr>
        <w:pStyle w:val="2"/>
        <w:pageBreakBefore w:val="0"/>
        <w:widowControl w:val="0"/>
        <w:kinsoku/>
        <w:wordWrap/>
        <w:overflowPunct/>
        <w:topLinePunct w:val="0"/>
        <w:bidi w:val="0"/>
        <w:spacing w:beforeLines="0" w:line="576" w:lineRule="exact"/>
        <w:ind w:left="0" w:right="0" w:firstLine="0" w:firstLineChars="0"/>
        <w:jc w:val="both"/>
        <w:textAlignment w:val="auto"/>
        <w:rPr>
          <w:rFonts w:hint="eastAsia" w:ascii="黑体" w:hAnsi="黑体" w:eastAsia="黑体" w:cs="黑体"/>
          <w:color w:val="auto"/>
          <w:sz w:val="32"/>
          <w:szCs w:val="32"/>
          <w:shd w:val="clear" w:color="auto" w:fill="FFFFFF"/>
          <w:lang w:val="zh-CN"/>
        </w:rPr>
      </w:pPr>
    </w:p>
    <w:p>
      <w:pPr>
        <w:pageBreakBefore w:val="0"/>
        <w:widowControl w:val="0"/>
        <w:kinsoku/>
        <w:wordWrap/>
        <w:overflowPunct/>
        <w:topLinePunct w:val="0"/>
        <w:bidi w:val="0"/>
        <w:spacing w:line="576" w:lineRule="exact"/>
        <w:ind w:left="0" w:right="0" w:firstLine="0" w:firstLineChars="0"/>
        <w:jc w:val="center"/>
        <w:textAlignment w:val="auto"/>
        <w:rPr>
          <w:rFonts w:hint="eastAsia" w:ascii="方正小标宋_GBK" w:hAnsi="方正小标宋_GBK" w:eastAsia="方正小标宋_GBK" w:cs="方正小标宋_GBK"/>
          <w:color w:val="auto"/>
          <w:sz w:val="36"/>
          <w:szCs w:val="36"/>
        </w:rPr>
      </w:pPr>
    </w:p>
    <w:p>
      <w:pPr>
        <w:spacing w:line="600" w:lineRule="exact"/>
        <w:jc w:val="center"/>
        <w:outlineLvl w:val="1"/>
        <w:rPr>
          <w:rFonts w:hint="eastAsia" w:ascii="仿宋_GB2312" w:hAnsi="仿宋_GB2312" w:eastAsia="仿宋_GB2312" w:cs="仿宋_GB2312"/>
          <w:color w:val="auto"/>
          <w:kern w:val="0"/>
          <w:sz w:val="32"/>
          <w:szCs w:val="32"/>
          <w:highlight w:val="none"/>
          <w:lang w:val="en-US" w:eastAsia="zh-CN" w:bidi="ar-SA"/>
        </w:rPr>
      </w:pPr>
      <w:bookmarkStart w:id="78" w:name="_Toc6005"/>
      <w:bookmarkStart w:id="79" w:name="_Toc2928"/>
      <w:bookmarkStart w:id="80" w:name="_Toc3136"/>
      <w:bookmarkStart w:id="81" w:name="_Toc32746"/>
      <w:bookmarkStart w:id="82" w:name="_Toc9199"/>
      <w:bookmarkStart w:id="83" w:name="_Toc15396618"/>
      <w:r>
        <w:rPr>
          <w:rFonts w:hint="eastAsia" w:ascii="仿宋_GB2312" w:hAnsi="仿宋_GB2312" w:eastAsia="仿宋_GB2312" w:cs="仿宋_GB2312"/>
          <w:color w:val="auto"/>
          <w:kern w:val="0"/>
          <w:sz w:val="32"/>
          <w:szCs w:val="32"/>
          <w:highlight w:val="none"/>
          <w:lang w:val="en-US" w:eastAsia="zh-CN" w:bidi="ar-SA"/>
        </w:rPr>
        <w:t>部门预算项目支出绩效自评表（2024年度）</w:t>
      </w:r>
      <w:bookmarkEnd w:id="78"/>
      <w:bookmarkEnd w:id="79"/>
      <w:bookmarkEnd w:id="80"/>
      <w:bookmarkEnd w:id="81"/>
      <w:bookmarkEnd w:id="82"/>
    </w:p>
    <w:p>
      <w:pPr>
        <w:spacing w:line="600" w:lineRule="exact"/>
        <w:jc w:val="left"/>
        <w:outlineLvl w:val="9"/>
        <w:rPr>
          <w:rFonts w:hint="eastAsia" w:ascii="仿宋_GB2312" w:hAnsi="仿宋_GB2312" w:eastAsia="仿宋_GB2312" w:cs="仿宋_GB2312"/>
          <w:color w:val="auto"/>
          <w:kern w:val="0"/>
          <w:sz w:val="32"/>
          <w:szCs w:val="32"/>
          <w:highlight w:val="none"/>
          <w:lang w:val="en-US" w:eastAsia="zh-CN" w:bidi="ar-SA"/>
        </w:rPr>
      </w:pPr>
    </w:p>
    <w:p>
      <w:pPr>
        <w:pStyle w:val="2"/>
        <w:rPr>
          <w:rFonts w:hint="eastAsia" w:ascii="仿宋_GB2312" w:hAnsi="仿宋_GB2312" w:eastAsia="仿宋_GB2312" w:cs="仿宋_GB2312"/>
          <w:color w:val="auto"/>
          <w:kern w:val="0"/>
          <w:sz w:val="32"/>
          <w:szCs w:val="32"/>
          <w:highlight w:val="none"/>
          <w:lang w:val="en-US" w:eastAsia="zh-CN" w:bidi="ar-SA"/>
        </w:rPr>
      </w:pPr>
    </w:p>
    <w:p>
      <w:pPr>
        <w:pStyle w:val="9"/>
        <w:rPr>
          <w:rFonts w:hint="eastAsia" w:ascii="仿宋_GB2312" w:hAnsi="仿宋_GB2312" w:eastAsia="仿宋_GB2312" w:cs="仿宋_GB2312"/>
          <w:color w:val="auto"/>
          <w:sz w:val="32"/>
          <w:szCs w:val="32"/>
        </w:rPr>
      </w:pPr>
    </w:p>
    <w:p>
      <w:pPr>
        <w:pStyle w:val="9"/>
        <w:rPr>
          <w:rFonts w:hint="eastAsia" w:ascii="仿宋_GB2312" w:hAnsi="仿宋_GB2312" w:eastAsia="仿宋_GB2312" w:cs="仿宋_GB2312"/>
          <w:color w:val="auto"/>
          <w:sz w:val="32"/>
          <w:szCs w:val="32"/>
        </w:rPr>
      </w:pPr>
    </w:p>
    <w:p>
      <w:pPr>
        <w:pStyle w:val="9"/>
        <w:rPr>
          <w:rFonts w:hint="eastAsia" w:ascii="仿宋_GB2312" w:hAnsi="仿宋_GB2312" w:eastAsia="仿宋_GB2312" w:cs="仿宋_GB2312"/>
          <w:color w:val="auto"/>
          <w:sz w:val="32"/>
          <w:szCs w:val="32"/>
        </w:rPr>
      </w:pPr>
    </w:p>
    <w:p>
      <w:pPr>
        <w:pStyle w:val="9"/>
        <w:rPr>
          <w:rFonts w:hint="eastAsia" w:ascii="仿宋_GB2312" w:hAnsi="仿宋_GB2312" w:eastAsia="仿宋_GB2312" w:cs="仿宋_GB2312"/>
          <w:color w:val="auto"/>
          <w:sz w:val="32"/>
          <w:szCs w:val="32"/>
        </w:rPr>
      </w:pPr>
    </w:p>
    <w:p>
      <w:pPr>
        <w:pStyle w:val="9"/>
        <w:rPr>
          <w:rFonts w:hint="eastAsia" w:ascii="仿宋_GB2312" w:hAnsi="仿宋_GB2312" w:eastAsia="仿宋_GB2312" w:cs="仿宋_GB2312"/>
          <w:color w:val="auto"/>
          <w:sz w:val="32"/>
          <w:szCs w:val="32"/>
        </w:rPr>
      </w:pPr>
    </w:p>
    <w:p>
      <w:pPr>
        <w:pStyle w:val="9"/>
        <w:rPr>
          <w:rFonts w:hint="eastAsia" w:ascii="仿宋_GB2312" w:hAnsi="仿宋_GB2312" w:eastAsia="仿宋_GB2312" w:cs="仿宋_GB2312"/>
          <w:color w:val="auto"/>
          <w:sz w:val="32"/>
          <w:szCs w:val="32"/>
        </w:rPr>
      </w:pPr>
    </w:p>
    <w:p>
      <w:pPr>
        <w:pStyle w:val="9"/>
        <w:rPr>
          <w:rFonts w:hint="eastAsia" w:ascii="仿宋_GB2312" w:hAnsi="仿宋_GB2312" w:eastAsia="仿宋_GB2312" w:cs="仿宋_GB2312"/>
          <w:color w:val="auto"/>
          <w:sz w:val="32"/>
          <w:szCs w:val="32"/>
        </w:rPr>
      </w:pPr>
    </w:p>
    <w:p>
      <w:pPr>
        <w:pStyle w:val="9"/>
        <w:rPr>
          <w:rFonts w:hint="eastAsia" w:ascii="仿宋_GB2312" w:hAnsi="仿宋_GB2312" w:eastAsia="仿宋_GB2312" w:cs="仿宋_GB2312"/>
          <w:color w:val="auto"/>
          <w:sz w:val="32"/>
          <w:szCs w:val="32"/>
        </w:rPr>
      </w:pPr>
    </w:p>
    <w:p>
      <w:pPr>
        <w:pStyle w:val="9"/>
        <w:rPr>
          <w:rFonts w:hint="eastAsia" w:ascii="仿宋_GB2312" w:hAnsi="仿宋_GB2312" w:eastAsia="仿宋_GB2312" w:cs="仿宋_GB2312"/>
          <w:color w:val="auto"/>
          <w:sz w:val="32"/>
          <w:szCs w:val="32"/>
        </w:rPr>
      </w:pPr>
    </w:p>
    <w:p>
      <w:pPr>
        <w:pStyle w:val="9"/>
        <w:rPr>
          <w:rFonts w:hint="eastAsia" w:ascii="仿宋_GB2312" w:hAnsi="仿宋_GB2312" w:eastAsia="仿宋_GB2312" w:cs="仿宋_GB2312"/>
          <w:color w:val="auto"/>
          <w:sz w:val="32"/>
          <w:szCs w:val="32"/>
        </w:rPr>
      </w:pPr>
    </w:p>
    <w:p>
      <w:pPr>
        <w:pStyle w:val="9"/>
        <w:rPr>
          <w:rFonts w:hint="eastAsia" w:ascii="仿宋_GB2312" w:hAnsi="仿宋_GB2312" w:eastAsia="仿宋_GB2312" w:cs="仿宋_GB2312"/>
          <w:color w:val="auto"/>
          <w:sz w:val="32"/>
          <w:szCs w:val="32"/>
        </w:rPr>
      </w:pPr>
    </w:p>
    <w:p>
      <w:pPr>
        <w:pStyle w:val="9"/>
        <w:rPr>
          <w:rFonts w:hint="eastAsia" w:ascii="仿宋_GB2312" w:hAnsi="仿宋_GB2312" w:eastAsia="仿宋_GB2312" w:cs="仿宋_GB2312"/>
          <w:color w:val="auto"/>
          <w:sz w:val="32"/>
          <w:szCs w:val="32"/>
        </w:rPr>
      </w:pPr>
    </w:p>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br w:type="page"/>
      </w:r>
    </w:p>
    <w:p>
      <w:pPr>
        <w:pStyle w:val="3"/>
        <w:keepNext/>
        <w:keepLines/>
        <w:pageBreakBefore w:val="0"/>
        <w:widowControl w:val="0"/>
        <w:kinsoku/>
        <w:wordWrap/>
        <w:overflowPunct/>
        <w:topLinePunct w:val="0"/>
        <w:autoSpaceDE/>
        <w:autoSpaceDN/>
        <w:bidi w:val="0"/>
        <w:adjustRightInd/>
        <w:snapToGrid/>
        <w:spacing w:before="0" w:after="0" w:line="576" w:lineRule="exact"/>
        <w:ind w:left="0" w:leftChars="0" w:firstLine="0" w:firstLineChars="0"/>
        <w:jc w:val="center"/>
        <w:textAlignment w:val="auto"/>
        <w:rPr>
          <w:rFonts w:hint="eastAsia" w:ascii="方正小标宋_GBK" w:hAnsi="方正小标宋_GBK" w:eastAsia="方正小标宋_GBK" w:cs="方正小标宋_GBK"/>
          <w:b w:val="0"/>
          <w:color w:val="auto"/>
          <w:highlight w:val="none"/>
          <w:lang w:val="en-US" w:eastAsia="zh-CN"/>
        </w:rPr>
      </w:pPr>
      <w:bookmarkStart w:id="84" w:name="_Toc28988"/>
      <w:bookmarkStart w:id="85" w:name="_Toc9557"/>
      <w:r>
        <w:rPr>
          <w:rFonts w:hint="eastAsia" w:ascii="方正小标宋_GBK" w:hAnsi="方正小标宋_GBK" w:eastAsia="方正小标宋_GBK" w:cs="方正小标宋_GBK"/>
          <w:b w:val="0"/>
          <w:color w:val="auto"/>
          <w:highlight w:val="none"/>
          <w:lang w:val="en-US" w:eastAsia="zh-CN"/>
        </w:rPr>
        <w:t>第五部分  附表</w:t>
      </w:r>
      <w:bookmarkEnd w:id="74"/>
      <w:bookmarkEnd w:id="83"/>
      <w:bookmarkEnd w:id="84"/>
      <w:bookmarkEnd w:id="85"/>
      <w:bookmarkStart w:id="86" w:name="_Toc15396619"/>
    </w:p>
    <w:p>
      <w:pPr>
        <w:pStyle w:val="14"/>
        <w:rPr>
          <w:color w:val="auto"/>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87" w:name="_Toc31620"/>
      <w:bookmarkStart w:id="88" w:name="_Toc24591"/>
      <w:r>
        <w:rPr>
          <w:rFonts w:hint="eastAsia" w:ascii="仿宋_GB2312" w:hAnsi="仿宋_GB2312" w:eastAsia="仿宋_GB2312" w:cs="仿宋_GB2312"/>
          <w:color w:val="auto"/>
          <w:kern w:val="0"/>
          <w:sz w:val="32"/>
          <w:szCs w:val="32"/>
          <w:highlight w:val="none"/>
          <w:lang w:val="en-US" w:eastAsia="zh-CN" w:bidi="ar-SA"/>
        </w:rPr>
        <w:t>一、收入支出决算总表</w:t>
      </w:r>
      <w:bookmarkEnd w:id="86"/>
      <w:bookmarkEnd w:id="87"/>
      <w:bookmarkEnd w:id="88"/>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89" w:name="_Toc7296"/>
      <w:bookmarkStart w:id="90" w:name="_Toc21156"/>
      <w:r>
        <w:rPr>
          <w:rFonts w:hint="eastAsia" w:ascii="仿宋_GB2312" w:hAnsi="仿宋_GB2312" w:eastAsia="仿宋_GB2312" w:cs="仿宋_GB2312"/>
          <w:color w:val="auto"/>
          <w:kern w:val="0"/>
          <w:sz w:val="32"/>
          <w:szCs w:val="32"/>
          <w:highlight w:val="none"/>
          <w:lang w:val="en-US" w:eastAsia="zh-CN" w:bidi="ar-SA"/>
        </w:rPr>
        <w:t>二、收入决算表</w:t>
      </w:r>
      <w:bookmarkEnd w:id="89"/>
    </w:p>
    <w:bookmarkEnd w:id="90"/>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91" w:name="_Toc5181"/>
      <w:bookmarkStart w:id="92" w:name="_Toc17992"/>
      <w:r>
        <w:rPr>
          <w:rFonts w:hint="eastAsia" w:ascii="仿宋_GB2312" w:hAnsi="仿宋_GB2312" w:eastAsia="仿宋_GB2312" w:cs="仿宋_GB2312"/>
          <w:color w:val="auto"/>
          <w:kern w:val="0"/>
          <w:sz w:val="32"/>
          <w:szCs w:val="32"/>
          <w:highlight w:val="none"/>
          <w:lang w:val="en-US" w:eastAsia="zh-CN" w:bidi="ar-SA"/>
        </w:rPr>
        <w:t>三、支出决算表</w:t>
      </w:r>
      <w:bookmarkEnd w:id="91"/>
    </w:p>
    <w:bookmarkEnd w:id="92"/>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93" w:name="_Toc3334"/>
      <w:bookmarkStart w:id="94" w:name="_Toc12166"/>
      <w:r>
        <w:rPr>
          <w:rFonts w:hint="eastAsia" w:ascii="仿宋_GB2312" w:hAnsi="仿宋_GB2312" w:eastAsia="仿宋_GB2312" w:cs="仿宋_GB2312"/>
          <w:color w:val="auto"/>
          <w:kern w:val="0"/>
          <w:sz w:val="32"/>
          <w:szCs w:val="32"/>
          <w:highlight w:val="none"/>
          <w:lang w:val="en-US" w:eastAsia="zh-CN" w:bidi="ar-SA"/>
        </w:rPr>
        <w:t>四、财政拨款收入支出决算总表</w:t>
      </w:r>
      <w:bookmarkEnd w:id="93"/>
    </w:p>
    <w:bookmarkEnd w:id="94"/>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95" w:name="_Toc3355"/>
      <w:bookmarkStart w:id="96" w:name="_Toc22974"/>
      <w:r>
        <w:rPr>
          <w:rFonts w:hint="eastAsia" w:ascii="仿宋_GB2312" w:hAnsi="仿宋_GB2312" w:eastAsia="仿宋_GB2312" w:cs="仿宋_GB2312"/>
          <w:color w:val="auto"/>
          <w:kern w:val="0"/>
          <w:sz w:val="32"/>
          <w:szCs w:val="32"/>
          <w:highlight w:val="none"/>
          <w:lang w:val="en-US" w:eastAsia="zh-CN" w:bidi="ar-SA"/>
        </w:rPr>
        <w:t>五、财政拨款支出决算明细表</w:t>
      </w:r>
      <w:bookmarkEnd w:id="95"/>
    </w:p>
    <w:bookmarkEnd w:id="96"/>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97" w:name="_Toc28219"/>
      <w:bookmarkStart w:id="98" w:name="_Toc20975"/>
      <w:r>
        <w:rPr>
          <w:rFonts w:hint="eastAsia" w:ascii="仿宋_GB2312" w:hAnsi="仿宋_GB2312" w:eastAsia="仿宋_GB2312" w:cs="仿宋_GB2312"/>
          <w:color w:val="auto"/>
          <w:kern w:val="0"/>
          <w:sz w:val="32"/>
          <w:szCs w:val="32"/>
          <w:highlight w:val="none"/>
          <w:lang w:val="en-US" w:eastAsia="zh-CN" w:bidi="ar-SA"/>
        </w:rPr>
        <w:t>六、一般公共预算财政拨款支出决算表</w:t>
      </w:r>
      <w:bookmarkEnd w:id="97"/>
    </w:p>
    <w:bookmarkEnd w:id="98"/>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99" w:name="_Toc1199"/>
      <w:bookmarkStart w:id="100" w:name="_Toc19138"/>
      <w:r>
        <w:rPr>
          <w:rFonts w:hint="eastAsia" w:ascii="仿宋_GB2312" w:hAnsi="仿宋_GB2312" w:eastAsia="仿宋_GB2312" w:cs="仿宋_GB2312"/>
          <w:color w:val="auto"/>
          <w:kern w:val="0"/>
          <w:sz w:val="32"/>
          <w:szCs w:val="32"/>
          <w:highlight w:val="none"/>
          <w:lang w:val="en-US" w:eastAsia="zh-CN" w:bidi="ar-SA"/>
        </w:rPr>
        <w:t>七、一般公共预算财政拨款支出决算明细表</w:t>
      </w:r>
      <w:bookmarkEnd w:id="99"/>
    </w:p>
    <w:bookmarkEnd w:id="100"/>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101" w:name="_Toc14856"/>
      <w:bookmarkStart w:id="102" w:name="_Toc10822"/>
      <w:r>
        <w:rPr>
          <w:rFonts w:hint="eastAsia" w:ascii="仿宋_GB2312" w:hAnsi="仿宋_GB2312" w:eastAsia="仿宋_GB2312" w:cs="仿宋_GB2312"/>
          <w:color w:val="auto"/>
          <w:kern w:val="0"/>
          <w:sz w:val="32"/>
          <w:szCs w:val="32"/>
          <w:highlight w:val="none"/>
          <w:lang w:val="en-US" w:eastAsia="zh-CN" w:bidi="ar-SA"/>
        </w:rPr>
        <w:t>八、一般公共预算财政拨款基本支出决算表</w:t>
      </w:r>
      <w:bookmarkEnd w:id="101"/>
    </w:p>
    <w:bookmarkEnd w:id="102"/>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103" w:name="_Toc32080"/>
      <w:bookmarkStart w:id="104" w:name="_Toc9008"/>
      <w:r>
        <w:rPr>
          <w:rFonts w:hint="eastAsia" w:ascii="仿宋_GB2312" w:hAnsi="仿宋_GB2312" w:eastAsia="仿宋_GB2312" w:cs="仿宋_GB2312"/>
          <w:color w:val="auto"/>
          <w:kern w:val="0"/>
          <w:sz w:val="32"/>
          <w:szCs w:val="32"/>
          <w:highlight w:val="none"/>
          <w:lang w:val="en-US" w:eastAsia="zh-CN" w:bidi="ar-SA"/>
        </w:rPr>
        <w:t>九、一般公共预算财政拨款项目支出决算表</w:t>
      </w:r>
      <w:bookmarkEnd w:id="103"/>
    </w:p>
    <w:bookmarkEnd w:id="104"/>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105" w:name="_Toc24880"/>
      <w:bookmarkStart w:id="106" w:name="_Toc20931"/>
      <w:r>
        <w:rPr>
          <w:rFonts w:hint="eastAsia" w:ascii="仿宋_GB2312" w:hAnsi="仿宋_GB2312" w:eastAsia="仿宋_GB2312" w:cs="仿宋_GB2312"/>
          <w:color w:val="auto"/>
          <w:kern w:val="0"/>
          <w:sz w:val="32"/>
          <w:szCs w:val="32"/>
          <w:highlight w:val="none"/>
          <w:lang w:val="en-US" w:eastAsia="zh-CN" w:bidi="ar-SA"/>
        </w:rPr>
        <w:t>十、政府性基金预算财政拨款收入支出决算表</w:t>
      </w:r>
      <w:bookmarkEnd w:id="105"/>
    </w:p>
    <w:bookmarkEnd w:id="106"/>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107" w:name="_Toc25942"/>
      <w:bookmarkStart w:id="108" w:name="_Toc6912"/>
      <w:r>
        <w:rPr>
          <w:rFonts w:hint="eastAsia" w:ascii="仿宋_GB2312" w:hAnsi="仿宋_GB2312" w:eastAsia="仿宋_GB2312" w:cs="仿宋_GB2312"/>
          <w:color w:val="auto"/>
          <w:kern w:val="0"/>
          <w:sz w:val="32"/>
          <w:szCs w:val="32"/>
          <w:highlight w:val="none"/>
          <w:lang w:val="en-US" w:eastAsia="zh-CN" w:bidi="ar-SA"/>
        </w:rPr>
        <w:t>十一、国有资本经营预算财政拨款收入支出决算表</w:t>
      </w:r>
      <w:bookmarkEnd w:id="107"/>
    </w:p>
    <w:bookmarkEnd w:id="108"/>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109" w:name="_Toc24265"/>
      <w:bookmarkStart w:id="110" w:name="_Toc7576"/>
      <w:r>
        <w:rPr>
          <w:rFonts w:hint="eastAsia" w:ascii="仿宋_GB2312" w:hAnsi="仿宋_GB2312" w:eastAsia="仿宋_GB2312" w:cs="仿宋_GB2312"/>
          <w:color w:val="auto"/>
          <w:kern w:val="0"/>
          <w:sz w:val="32"/>
          <w:szCs w:val="32"/>
          <w:highlight w:val="none"/>
          <w:lang w:val="en-US" w:eastAsia="zh-CN" w:bidi="ar-SA"/>
        </w:rPr>
        <w:t>十二、国有资本经营预算财政拨款支出决算表</w:t>
      </w:r>
      <w:bookmarkEnd w:id="109"/>
    </w:p>
    <w:bookmarkEnd w:id="110"/>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val="en-US" w:eastAsia="zh-CN" w:bidi="ar-SA"/>
        </w:rPr>
      </w:pPr>
      <w:bookmarkStart w:id="111" w:name="_Toc19563"/>
      <w:bookmarkStart w:id="112" w:name="_Toc9043"/>
      <w:r>
        <w:rPr>
          <w:rFonts w:hint="eastAsia" w:ascii="仿宋_GB2312" w:hAnsi="仿宋_GB2312" w:eastAsia="仿宋_GB2312" w:cs="仿宋_GB2312"/>
          <w:color w:val="auto"/>
          <w:kern w:val="0"/>
          <w:sz w:val="32"/>
          <w:szCs w:val="32"/>
          <w:highlight w:val="none"/>
          <w:lang w:val="en-US" w:eastAsia="zh-CN" w:bidi="ar-SA"/>
        </w:rPr>
        <w:t>十三、财政拨款“三公”经费支出决算表</w:t>
      </w:r>
      <w:bookmarkEnd w:id="111"/>
    </w:p>
    <w:bookmarkEnd w:id="112"/>
    <w:sectPr>
      <w:footerReference r:id="rId4" w:type="default"/>
      <w:pgSz w:w="11906" w:h="16838"/>
      <w:pgMar w:top="2098" w:right="1474" w:bottom="1984" w:left="1587" w:header="851" w:footer="1559"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172A27"/>
    <w:rsid w:val="000222C6"/>
    <w:rsid w:val="0002549F"/>
    <w:rsid w:val="000468DB"/>
    <w:rsid w:val="0006487A"/>
    <w:rsid w:val="00065F8F"/>
    <w:rsid w:val="00070A43"/>
    <w:rsid w:val="000768F2"/>
    <w:rsid w:val="0009184B"/>
    <w:rsid w:val="00094236"/>
    <w:rsid w:val="00095050"/>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C0EAF"/>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347E2"/>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8436F"/>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258D6"/>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3BB0"/>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50CDF"/>
    <w:rsid w:val="00F602DF"/>
    <w:rsid w:val="00F754A1"/>
    <w:rsid w:val="00F81FD9"/>
    <w:rsid w:val="00F841AA"/>
    <w:rsid w:val="00F84A94"/>
    <w:rsid w:val="00F87E96"/>
    <w:rsid w:val="00FA23E8"/>
    <w:rsid w:val="00FD3CC1"/>
    <w:rsid w:val="00FF1E02"/>
    <w:rsid w:val="00FF30B4"/>
    <w:rsid w:val="013E50E2"/>
    <w:rsid w:val="02C46466"/>
    <w:rsid w:val="033308D5"/>
    <w:rsid w:val="03A04752"/>
    <w:rsid w:val="09267C87"/>
    <w:rsid w:val="093A184A"/>
    <w:rsid w:val="0A2032A3"/>
    <w:rsid w:val="0B8A37D8"/>
    <w:rsid w:val="0C5027C1"/>
    <w:rsid w:val="10154878"/>
    <w:rsid w:val="10C055FF"/>
    <w:rsid w:val="118107EC"/>
    <w:rsid w:val="11DD6519"/>
    <w:rsid w:val="128F1FA8"/>
    <w:rsid w:val="16321CA0"/>
    <w:rsid w:val="16BB723D"/>
    <w:rsid w:val="17297CE3"/>
    <w:rsid w:val="18015F3F"/>
    <w:rsid w:val="188F365D"/>
    <w:rsid w:val="197A7DA1"/>
    <w:rsid w:val="1AD33B7B"/>
    <w:rsid w:val="1BA97497"/>
    <w:rsid w:val="1BE8440E"/>
    <w:rsid w:val="1CCE660E"/>
    <w:rsid w:val="1D155CEE"/>
    <w:rsid w:val="1EF40970"/>
    <w:rsid w:val="1F67BB88"/>
    <w:rsid w:val="1FEA3DD3"/>
    <w:rsid w:val="20F57F95"/>
    <w:rsid w:val="240371BF"/>
    <w:rsid w:val="243279D1"/>
    <w:rsid w:val="24747FE9"/>
    <w:rsid w:val="252E0CE2"/>
    <w:rsid w:val="25770175"/>
    <w:rsid w:val="25C741E6"/>
    <w:rsid w:val="27842671"/>
    <w:rsid w:val="29FD04D3"/>
    <w:rsid w:val="29FD282F"/>
    <w:rsid w:val="2ABE7A3E"/>
    <w:rsid w:val="2B4C0D09"/>
    <w:rsid w:val="2BE7C598"/>
    <w:rsid w:val="2D6009A2"/>
    <w:rsid w:val="2EFA178C"/>
    <w:rsid w:val="30B46D73"/>
    <w:rsid w:val="31322DBE"/>
    <w:rsid w:val="317F000C"/>
    <w:rsid w:val="319F7F4E"/>
    <w:rsid w:val="3434719C"/>
    <w:rsid w:val="35134A0C"/>
    <w:rsid w:val="356B9E1F"/>
    <w:rsid w:val="371FE82E"/>
    <w:rsid w:val="37FF600D"/>
    <w:rsid w:val="386A72E1"/>
    <w:rsid w:val="399F434D"/>
    <w:rsid w:val="39AE70AB"/>
    <w:rsid w:val="3B0F2544"/>
    <w:rsid w:val="3B586984"/>
    <w:rsid w:val="3C0C0783"/>
    <w:rsid w:val="3C600A4F"/>
    <w:rsid w:val="3CCAAF3B"/>
    <w:rsid w:val="3F795B0E"/>
    <w:rsid w:val="3F9F3A96"/>
    <w:rsid w:val="401F7E48"/>
    <w:rsid w:val="40350D30"/>
    <w:rsid w:val="41215ADF"/>
    <w:rsid w:val="41876D06"/>
    <w:rsid w:val="425E25FE"/>
    <w:rsid w:val="463D2CCF"/>
    <w:rsid w:val="46A43EC2"/>
    <w:rsid w:val="46DE39E7"/>
    <w:rsid w:val="491C608F"/>
    <w:rsid w:val="493C27E9"/>
    <w:rsid w:val="496F39ED"/>
    <w:rsid w:val="49FF41D3"/>
    <w:rsid w:val="4A185DC8"/>
    <w:rsid w:val="4B295AB3"/>
    <w:rsid w:val="4BE068DB"/>
    <w:rsid w:val="4BF6002B"/>
    <w:rsid w:val="4C7D77B7"/>
    <w:rsid w:val="4ECE2238"/>
    <w:rsid w:val="4F0B3776"/>
    <w:rsid w:val="50903205"/>
    <w:rsid w:val="516F0562"/>
    <w:rsid w:val="5196408D"/>
    <w:rsid w:val="51DB4B86"/>
    <w:rsid w:val="51F55903"/>
    <w:rsid w:val="54406A2F"/>
    <w:rsid w:val="55333C3E"/>
    <w:rsid w:val="56215030"/>
    <w:rsid w:val="56660C21"/>
    <w:rsid w:val="58312DDA"/>
    <w:rsid w:val="591B75C2"/>
    <w:rsid w:val="5AF6E6DD"/>
    <w:rsid w:val="5D1FB36F"/>
    <w:rsid w:val="5DDFA015"/>
    <w:rsid w:val="5EDF6E2A"/>
    <w:rsid w:val="5F59EA40"/>
    <w:rsid w:val="5F7F9A68"/>
    <w:rsid w:val="613746B8"/>
    <w:rsid w:val="61D45C65"/>
    <w:rsid w:val="64622266"/>
    <w:rsid w:val="64CA39A1"/>
    <w:rsid w:val="65052EF2"/>
    <w:rsid w:val="66A1350B"/>
    <w:rsid w:val="67E6C563"/>
    <w:rsid w:val="68A6351C"/>
    <w:rsid w:val="69AD3941"/>
    <w:rsid w:val="6BE5C713"/>
    <w:rsid w:val="6C4A05C8"/>
    <w:rsid w:val="6D195FA7"/>
    <w:rsid w:val="6D7F8892"/>
    <w:rsid w:val="6EF70EE2"/>
    <w:rsid w:val="6F722E40"/>
    <w:rsid w:val="6F9FACD4"/>
    <w:rsid w:val="6FCA4990"/>
    <w:rsid w:val="6FFFE176"/>
    <w:rsid w:val="70AD3C34"/>
    <w:rsid w:val="72734D90"/>
    <w:rsid w:val="733FE794"/>
    <w:rsid w:val="73650BC9"/>
    <w:rsid w:val="757FD089"/>
    <w:rsid w:val="75F75951"/>
    <w:rsid w:val="762A60F5"/>
    <w:rsid w:val="773D4264"/>
    <w:rsid w:val="773EA93B"/>
    <w:rsid w:val="78FB5F09"/>
    <w:rsid w:val="79AE02B1"/>
    <w:rsid w:val="79E7B28D"/>
    <w:rsid w:val="7A6F97CB"/>
    <w:rsid w:val="7AF7F523"/>
    <w:rsid w:val="7AF8BF44"/>
    <w:rsid w:val="7AFA3931"/>
    <w:rsid w:val="7B7B7596"/>
    <w:rsid w:val="7BBADB53"/>
    <w:rsid w:val="7BFC04B5"/>
    <w:rsid w:val="7BFF1391"/>
    <w:rsid w:val="7C775BAB"/>
    <w:rsid w:val="7D5F88DB"/>
    <w:rsid w:val="7DE35785"/>
    <w:rsid w:val="7E3B3840"/>
    <w:rsid w:val="7E9F7B57"/>
    <w:rsid w:val="7EF75D58"/>
    <w:rsid w:val="7F9F20EE"/>
    <w:rsid w:val="7FE231CE"/>
    <w:rsid w:val="7FEF6E00"/>
    <w:rsid w:val="9E3A10E2"/>
    <w:rsid w:val="A9BA607B"/>
    <w:rsid w:val="A9DFE2C9"/>
    <w:rsid w:val="AD777FEB"/>
    <w:rsid w:val="B9734D1F"/>
    <w:rsid w:val="BB7602DE"/>
    <w:rsid w:val="BD9FF6A8"/>
    <w:rsid w:val="BEBF9D10"/>
    <w:rsid w:val="BEC98B1D"/>
    <w:rsid w:val="BFE67050"/>
    <w:rsid w:val="BFFD11B8"/>
    <w:rsid w:val="BFFF9241"/>
    <w:rsid w:val="CFD63D76"/>
    <w:rsid w:val="D7BED59B"/>
    <w:rsid w:val="D7FD5077"/>
    <w:rsid w:val="DFBED8B5"/>
    <w:rsid w:val="E7FB5B88"/>
    <w:rsid w:val="EFDFA2D4"/>
    <w:rsid w:val="F2E1F9D4"/>
    <w:rsid w:val="F3D82795"/>
    <w:rsid w:val="F4CF6D64"/>
    <w:rsid w:val="F7880819"/>
    <w:rsid w:val="F7BA3755"/>
    <w:rsid w:val="F7DF2350"/>
    <w:rsid w:val="F7F72175"/>
    <w:rsid w:val="F7FE2FEB"/>
    <w:rsid w:val="FBCD4D2A"/>
    <w:rsid w:val="FBEF0FB9"/>
    <w:rsid w:val="FC3F751E"/>
    <w:rsid w:val="FF56BED4"/>
    <w:rsid w:val="FF6DF58E"/>
    <w:rsid w:val="FFFFD6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8"/>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420" w:leftChars="200"/>
    </w:pPr>
    <w:rPr>
      <w:rFonts w:cs="Calibri"/>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4">
    <w:name w:val="Body Text First Indent 2"/>
    <w:basedOn w:val="6"/>
    <w:next w:val="1"/>
    <w:qFormat/>
    <w:uiPriority w:val="0"/>
    <w:pPr>
      <w:ind w:firstLine="420" w:firstLineChars="200"/>
    </w:pPr>
    <w:rPr>
      <w:rFonts w:cs="Times New Roman"/>
    </w:r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paragraph" w:customStyle="1" w:styleId="22">
    <w:name w:val="Default"/>
    <w:next w:val="1"/>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3">
    <w:name w:val="Header Char"/>
    <w:basedOn w:val="16"/>
    <w:semiHidden/>
    <w:qFormat/>
    <w:uiPriority w:val="99"/>
    <w:rPr>
      <w:rFonts w:ascii="Times New Roman" w:hAnsi="Times New Roman"/>
      <w:sz w:val="18"/>
      <w:szCs w:val="18"/>
    </w:rPr>
  </w:style>
  <w:style w:type="character" w:customStyle="1" w:styleId="24">
    <w:name w:val="页眉 Char"/>
    <w:link w:val="10"/>
    <w:semiHidden/>
    <w:qFormat/>
    <w:locked/>
    <w:uiPriority w:val="99"/>
    <w:rPr>
      <w:sz w:val="18"/>
    </w:rPr>
  </w:style>
  <w:style w:type="character" w:customStyle="1" w:styleId="25">
    <w:name w:val="Footer Char"/>
    <w:basedOn w:val="16"/>
    <w:semiHidden/>
    <w:qFormat/>
    <w:uiPriority w:val="99"/>
    <w:rPr>
      <w:rFonts w:ascii="Times New Roman" w:hAnsi="Times New Roman"/>
      <w:sz w:val="18"/>
      <w:szCs w:val="18"/>
    </w:rPr>
  </w:style>
  <w:style w:type="character" w:customStyle="1" w:styleId="26">
    <w:name w:val="页脚 Char"/>
    <w:link w:val="9"/>
    <w:qFormat/>
    <w:locked/>
    <w:uiPriority w:val="99"/>
    <w:rPr>
      <w:sz w:val="18"/>
    </w:rPr>
  </w:style>
  <w:style w:type="character" w:customStyle="1" w:styleId="27">
    <w:name w:val="Body Text Char"/>
    <w:basedOn w:val="16"/>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styleId="29">
    <w:name w:val="List Paragraph"/>
    <w:basedOn w:val="1"/>
    <w:qFormat/>
    <w:uiPriority w:val="34"/>
    <w:pPr>
      <w:ind w:firstLine="420" w:firstLineChars="200"/>
    </w:p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8"/>
    <w:semiHidden/>
    <w:qFormat/>
    <w:uiPriority w:val="99"/>
    <w:rPr>
      <w:rFonts w:ascii="Times New Roman" w:hAnsi="Times New Roman"/>
      <w:kern w:val="2"/>
      <w:sz w:val="18"/>
      <w:szCs w:val="18"/>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WPSOffice手动目录 1"/>
    <w:qFormat/>
    <w:uiPriority w:val="0"/>
    <w:pPr>
      <w:ind w:leftChars="0"/>
    </w:pPr>
    <w:rPr>
      <w:rFonts w:ascii="Times New Roman" w:hAnsi="Times New Roman" w:eastAsia="宋体" w:cs="Times New Roman"/>
      <w:sz w:val="20"/>
      <w:szCs w:val="20"/>
    </w:rPr>
  </w:style>
  <w:style w:type="paragraph" w:customStyle="1" w:styleId="3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200" b="0" i="0" u="none" strike="noStrike" kern="1200" spc="0" baseline="0">
              <a:solidFill>
                <a:schemeClr val="tx1">
                  <a:lumMod val="65000"/>
                  <a:lumOff val="35000"/>
                </a:schemeClr>
              </a:solidFill>
              <a:latin typeface="+mn-lt"/>
              <a:ea typeface="+mn-ea"/>
              <a:cs typeface="+mn-cs"/>
            </a:defRPr>
          </a:pPr>
        </a:p>
      </c:txPr>
    </c:title>
    <c:autoTitleDeleted val="false"/>
    <c:plotArea>
      <c:layout>
        <c:manualLayout>
          <c:layoutTarget val="inner"/>
          <c:xMode val="edge"/>
          <c:yMode val="edge"/>
          <c:x val="0.0632218024824609"/>
          <c:y val="0.1232779587405"/>
          <c:w val="0.85355"/>
          <c:h val="0.709566666666667"/>
        </c:manualLayout>
      </c:layout>
      <c:barChart>
        <c:barDir val="col"/>
        <c:grouping val="clustered"/>
        <c:varyColors val="false"/>
        <c:ser>
          <c:idx val="0"/>
          <c:order val="0"/>
          <c:tx>
            <c:strRef>
              <c:f>Sheet1!$B$1</c:f>
              <c:strCache>
                <c:ptCount val="1"/>
                <c:pt idx="0">
                  <c:v>收、支决算总计变动情况图（单位：万元）</c:v>
                </c:pt>
              </c:strCache>
            </c:strRef>
          </c:tx>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2023年度收、支总计</c:v>
                </c:pt>
                <c:pt idx="1">
                  <c:v>2024年度收、支总计</c:v>
                </c:pt>
              </c:strCache>
            </c:strRef>
          </c:cat>
          <c:val>
            <c:numRef>
              <c:f>Sheet1!$B$2:$B$3</c:f>
              <c:numCache>
                <c:formatCode>General</c:formatCode>
                <c:ptCount val="2"/>
                <c:pt idx="0">
                  <c:v>293.56</c:v>
                </c:pt>
                <c:pt idx="1">
                  <c:v>451.92</c:v>
                </c:pt>
              </c:numCache>
            </c:numRef>
          </c:val>
        </c:ser>
        <c:dLbls>
          <c:showLegendKey val="false"/>
          <c:showVal val="false"/>
          <c:showCatName val="false"/>
          <c:showSerName val="false"/>
          <c:showPercent val="false"/>
          <c:showBubbleSize val="false"/>
        </c:dLbls>
        <c:gapWidth val="219"/>
        <c:overlap val="-27"/>
        <c:axId val="213112008"/>
        <c:axId val="213112400"/>
      </c:barChart>
      <c:catAx>
        <c:axId val="213112008"/>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13112400"/>
        <c:crosses val="autoZero"/>
        <c:auto val="true"/>
        <c:lblAlgn val="ctr"/>
        <c:lblOffset val="100"/>
        <c:noMultiLvlLbl val="false"/>
      </c:catAx>
      <c:valAx>
        <c:axId val="21311240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13112008"/>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2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收入决算结构图（单位：万元）</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297.58</c:v>
                </c:pt>
                <c:pt idx="1">
                  <c:v>151.78</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2869375"/>
          <c:y val="0.922666666666667"/>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40908502653035"/>
          <c:y val="0.0288115246098439"/>
        </c:manualLayout>
      </c:layout>
      <c:overlay val="false"/>
      <c:spPr>
        <a:noFill/>
        <a:ln>
          <a:noFill/>
        </a:ln>
        <a:effectLst/>
      </c:spPr>
      <c:txPr>
        <a:bodyPr rot="0" spcFirstLastPara="1" vertOverflow="ellipsis" vert="horz" wrap="square" anchor="ctr" anchorCtr="true"/>
        <a:lstStyle/>
        <a:p>
          <a:pPr>
            <a:defRPr lang="zh-CN" sz="12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支出决算结构图（单位：万元）</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314.34</c:v>
                </c:pt>
                <c:pt idx="1">
                  <c:v>137.51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14106201864613"/>
          <c:y val="0.023231031543052"/>
        </c:manualLayout>
      </c:layout>
      <c:overlay val="false"/>
      <c:spPr>
        <a:noFill/>
        <a:ln>
          <a:noFill/>
        </a:ln>
        <a:effectLst/>
      </c:spPr>
      <c:txPr>
        <a:bodyPr rot="0" spcFirstLastPara="0" vertOverflow="ellipsis" vert="horz" wrap="square" anchor="ctr" anchorCtr="true"/>
        <a:lstStyle/>
        <a:p>
          <a:pPr>
            <a:defRPr lang="zh-CN" sz="1200" b="0" i="0" u="none" strike="noStrike" kern="1200" spc="0" baseline="0">
              <a:solidFill>
                <a:schemeClr val="tx1">
                  <a:lumMod val="65000"/>
                  <a:lumOff val="35000"/>
                </a:schemeClr>
              </a:solidFill>
              <a:latin typeface="+mn-lt"/>
              <a:ea typeface="+mn-ea"/>
              <a:cs typeface="+mn-cs"/>
            </a:defRPr>
          </a:pPr>
        </a:p>
      </c:txPr>
    </c:title>
    <c:autoTitleDeleted val="false"/>
    <c:plotArea>
      <c:layout/>
      <c:barChart>
        <c:barDir val="col"/>
        <c:grouping val="clustered"/>
        <c:varyColors val="false"/>
        <c:ser>
          <c:idx val="0"/>
          <c:order val="0"/>
          <c:tx>
            <c:strRef>
              <c:f>Sheet1!$B$1</c:f>
              <c:strCache>
                <c:ptCount val="1"/>
                <c:pt idx="0">
                  <c:v>财政拨款收、支决算总计变动情况（单位：万元）</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2023年财政拨款收、支总计</c:v>
                </c:pt>
                <c:pt idx="1">
                  <c:v>2024年财政拨款收、支总计</c:v>
                </c:pt>
              </c:strCache>
            </c:strRef>
          </c:cat>
          <c:val>
            <c:numRef>
              <c:f>Sheet1!$B$2:$B$3</c:f>
              <c:numCache>
                <c:formatCode>General</c:formatCode>
                <c:ptCount val="2"/>
                <c:pt idx="0">
                  <c:v>263.03</c:v>
                </c:pt>
                <c:pt idx="1">
                  <c:v>297.58</c:v>
                </c:pt>
              </c:numCache>
            </c:numRef>
          </c:val>
        </c:ser>
        <c:dLbls>
          <c:showLegendKey val="false"/>
          <c:showVal val="false"/>
          <c:showCatName val="false"/>
          <c:showSerName val="false"/>
          <c:showPercent val="false"/>
          <c:showBubbleSize val="false"/>
        </c:dLbls>
        <c:gapWidth val="219"/>
        <c:overlap val="-27"/>
        <c:axId val="294736912"/>
        <c:axId val="294737304"/>
      </c:barChart>
      <c:catAx>
        <c:axId val="294736912"/>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4737304"/>
        <c:crosses val="autoZero"/>
        <c:auto val="true"/>
        <c:lblAlgn val="ctr"/>
        <c:lblOffset val="100"/>
        <c:noMultiLvlLbl val="false"/>
      </c:catAx>
      <c:valAx>
        <c:axId val="29473730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4736912"/>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200" b="0" i="0" u="none" strike="noStrike" kern="1200" spc="0" baseline="0">
              <a:solidFill>
                <a:schemeClr val="tx1">
                  <a:lumMod val="65000"/>
                  <a:lumOff val="35000"/>
                </a:schemeClr>
              </a:solidFill>
              <a:latin typeface="+mn-lt"/>
              <a:ea typeface="+mn-ea"/>
              <a:cs typeface="+mn-cs"/>
            </a:defRPr>
          </a:pPr>
        </a:p>
      </c:txPr>
    </c:title>
    <c:autoTitleDeleted val="false"/>
    <c:plotArea>
      <c:layout/>
      <c:barChart>
        <c:barDir val="col"/>
        <c:grouping val="clustered"/>
        <c:varyColors val="false"/>
        <c:ser>
          <c:idx val="0"/>
          <c:order val="0"/>
          <c:tx>
            <c:strRef>
              <c:f>Sheet1!$B$1</c:f>
              <c:strCache>
                <c:ptCount val="1"/>
                <c:pt idx="0">
                  <c:v>一般公共预算财政拨款支出决算变动情况（单位：万元）</c:v>
                </c:pt>
              </c:strCache>
            </c:strRef>
          </c:tx>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2023年一般公共预算财政拨款支出</c:v>
                </c:pt>
                <c:pt idx="1">
                  <c:v>2024年一般公共预算财政拨款支出</c:v>
                </c:pt>
              </c:strCache>
            </c:strRef>
          </c:cat>
          <c:val>
            <c:numRef>
              <c:f>Sheet1!$B$2:$B$3</c:f>
              <c:numCache>
                <c:formatCode>General</c:formatCode>
                <c:ptCount val="2"/>
                <c:pt idx="0">
                  <c:v>263.03</c:v>
                </c:pt>
                <c:pt idx="1">
                  <c:v>297.58</c:v>
                </c:pt>
              </c:numCache>
            </c:numRef>
          </c:val>
        </c:ser>
        <c:dLbls>
          <c:showLegendKey val="false"/>
          <c:showVal val="false"/>
          <c:showCatName val="false"/>
          <c:showSerName val="false"/>
          <c:showPercent val="false"/>
          <c:showBubbleSize val="false"/>
        </c:dLbls>
        <c:gapWidth val="219"/>
        <c:overlap val="-27"/>
        <c:axId val="213090680"/>
        <c:axId val="213091072"/>
      </c:barChart>
      <c:catAx>
        <c:axId val="213090680"/>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13091072"/>
        <c:crosses val="autoZero"/>
        <c:auto val="true"/>
        <c:lblAlgn val="ctr"/>
        <c:lblOffset val="100"/>
        <c:noMultiLvlLbl val="false"/>
      </c:catAx>
      <c:valAx>
        <c:axId val="213091072"/>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13090680"/>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2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一般公共预算财政拨款支出决算结构（单位：万元）</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社会保障和就业（类）支出</c:v>
                </c:pt>
                <c:pt idx="1">
                  <c:v>卫生健康支出</c:v>
                </c:pt>
                <c:pt idx="2">
                  <c:v>城乡社区支出</c:v>
                </c:pt>
                <c:pt idx="3">
                  <c:v>住房保障支出</c:v>
                </c:pt>
              </c:strCache>
            </c:strRef>
          </c:cat>
          <c:val>
            <c:numRef>
              <c:f>Sheet1!$B$2:$B$5</c:f>
              <c:numCache>
                <c:formatCode>General</c:formatCode>
                <c:ptCount val="4"/>
                <c:pt idx="0">
                  <c:v>31.07</c:v>
                </c:pt>
                <c:pt idx="1">
                  <c:v>9.94</c:v>
                </c:pt>
                <c:pt idx="2">
                  <c:v>234.11</c:v>
                </c:pt>
                <c:pt idx="3">
                  <c:v>22.46</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15</Pages>
  <Words>3664</Words>
  <Characters>3992</Characters>
  <Lines>80</Lines>
  <Paragraphs>22</Paragraphs>
  <TotalTime>1</TotalTime>
  <ScaleCrop>false</ScaleCrop>
  <LinksUpToDate>false</LinksUpToDate>
  <CharactersWithSpaces>4041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2020-08-13T09:49:00Z</dcterms:created>
  <dc:creator>曹颖</dc:creator>
  <cp:lastModifiedBy> </cp:lastModifiedBy>
  <cp:lastPrinted>2025-09-04T19:32:00Z</cp:lastPrinted>
  <dcterms:modified xsi:type="dcterms:W3CDTF">2025-10-13T09:06:39Z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18C4299B72334D3095585539B3212D20</vt:lpwstr>
  </property>
  <property fmtid="{D5CDD505-2E9C-101B-9397-08002B2CF9AE}" pid="4" name="KSOTemplateDocerSaveRecord">
    <vt:lpwstr>eyJoZGlkIjoiYTc2ZGZiNzZiNDVlOGViOWVmM2JhOTY0NGJkNjUyYzgiLCJ1c2VySWQiOiIyMjA2OTAwNTAifQ==</vt:lpwstr>
  </property>
</Properties>
</file>